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E9" w:rsidRDefault="00B220E9" w:rsidP="00B220E9">
      <w:pPr>
        <w:tabs>
          <w:tab w:val="left" w:pos="8100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Expedited Bill No.  </w:t>
      </w:r>
      <w:r>
        <w:rPr>
          <w:rFonts w:ascii="Arial" w:hAnsi="Arial"/>
          <w:sz w:val="20"/>
          <w:u w:val="single"/>
        </w:rPr>
        <w:tab/>
      </w:r>
      <w:r w:rsidR="009D2F90">
        <w:rPr>
          <w:rFonts w:ascii="Arial" w:hAnsi="Arial"/>
          <w:sz w:val="20"/>
          <w:u w:val="single"/>
        </w:rPr>
        <w:t>23</w:t>
      </w:r>
      <w:r>
        <w:rPr>
          <w:rFonts w:ascii="Arial" w:hAnsi="Arial"/>
          <w:sz w:val="20"/>
          <w:u w:val="single"/>
        </w:rPr>
        <w:t>-16</w:t>
      </w:r>
      <w:r>
        <w:rPr>
          <w:rFonts w:ascii="Arial" w:hAnsi="Arial"/>
          <w:sz w:val="20"/>
          <w:u w:val="single"/>
        </w:rPr>
        <w:tab/>
      </w:r>
    </w:p>
    <w:p w:rsidR="00B220E9" w:rsidRDefault="00B220E9" w:rsidP="00B220E9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Concerning: </w:t>
      </w:r>
      <w:r>
        <w:rPr>
          <w:rFonts w:ascii="Arial" w:hAnsi="Arial"/>
          <w:sz w:val="20"/>
          <w:u w:val="single"/>
        </w:rPr>
        <w:tab/>
        <w:t>Special Capital Improvements Project – Kensington Fire Station 25 Addition</w:t>
      </w:r>
      <w:r>
        <w:rPr>
          <w:rFonts w:ascii="Arial" w:hAnsi="Arial"/>
          <w:sz w:val="20"/>
          <w:u w:val="single"/>
        </w:rPr>
        <w:tab/>
      </w:r>
    </w:p>
    <w:p w:rsidR="00B220E9" w:rsidRDefault="00B220E9" w:rsidP="00B220E9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Revised:  </w:t>
      </w:r>
      <w:r>
        <w:rPr>
          <w:rFonts w:ascii="Arial" w:hAnsi="Arial"/>
          <w:sz w:val="20"/>
          <w:u w:val="single"/>
        </w:rPr>
        <w:tab/>
        <w:t>6/1/16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Draft No. </w:t>
      </w:r>
      <w:r>
        <w:rPr>
          <w:rFonts w:ascii="Arial" w:hAnsi="Arial"/>
          <w:sz w:val="20"/>
          <w:u w:val="single"/>
        </w:rPr>
        <w:tab/>
        <w:t>1</w:t>
      </w:r>
      <w:r>
        <w:rPr>
          <w:rFonts w:ascii="Arial" w:hAnsi="Arial"/>
          <w:sz w:val="20"/>
          <w:u w:val="single"/>
        </w:rPr>
        <w:tab/>
      </w:r>
    </w:p>
    <w:p w:rsidR="00B220E9" w:rsidRDefault="00B220E9" w:rsidP="00B220E9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Introduced:  </w:t>
      </w:r>
      <w:r>
        <w:rPr>
          <w:rFonts w:ascii="Arial" w:hAnsi="Arial"/>
          <w:sz w:val="20"/>
          <w:u w:val="single"/>
        </w:rPr>
        <w:tab/>
        <w:t>June 14, 2016</w:t>
      </w:r>
      <w:r>
        <w:rPr>
          <w:rFonts w:ascii="Arial" w:hAnsi="Arial"/>
          <w:sz w:val="20"/>
          <w:u w:val="single"/>
        </w:rPr>
        <w:tab/>
      </w:r>
    </w:p>
    <w:p w:rsidR="00B220E9" w:rsidRDefault="00B220E9" w:rsidP="00B220E9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Enacted:  </w:t>
      </w:r>
      <w:r>
        <w:rPr>
          <w:rFonts w:ascii="Arial" w:hAnsi="Arial"/>
          <w:sz w:val="20"/>
          <w:u w:val="single"/>
        </w:rPr>
        <w:tab/>
      </w:r>
      <w:r w:rsidR="0026664A">
        <w:rPr>
          <w:rFonts w:ascii="Arial" w:hAnsi="Arial"/>
          <w:sz w:val="20"/>
          <w:u w:val="single"/>
        </w:rPr>
        <w:t>June 28, 2016</w:t>
      </w:r>
      <w:r>
        <w:rPr>
          <w:rFonts w:ascii="Arial" w:hAnsi="Arial"/>
          <w:sz w:val="20"/>
          <w:u w:val="single"/>
        </w:rPr>
        <w:tab/>
      </w:r>
    </w:p>
    <w:p w:rsidR="00B220E9" w:rsidRDefault="00B220E9" w:rsidP="00B220E9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Executive:  </w:t>
      </w:r>
      <w:r>
        <w:rPr>
          <w:rFonts w:ascii="Arial" w:hAnsi="Arial"/>
          <w:sz w:val="20"/>
          <w:u w:val="single"/>
        </w:rPr>
        <w:tab/>
      </w:r>
      <w:r w:rsidR="006C3B7F">
        <w:rPr>
          <w:rFonts w:ascii="Arial" w:hAnsi="Arial"/>
          <w:sz w:val="20"/>
          <w:u w:val="single"/>
        </w:rPr>
        <w:t>July 7, 2016</w:t>
      </w:r>
      <w:r>
        <w:rPr>
          <w:rFonts w:ascii="Arial" w:hAnsi="Arial"/>
          <w:sz w:val="20"/>
          <w:u w:val="single"/>
        </w:rPr>
        <w:tab/>
      </w:r>
    </w:p>
    <w:p w:rsidR="00B220E9" w:rsidRDefault="00B220E9" w:rsidP="00B220E9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Effective:  </w:t>
      </w:r>
      <w:r>
        <w:rPr>
          <w:rFonts w:ascii="Arial" w:hAnsi="Arial"/>
          <w:sz w:val="20"/>
          <w:u w:val="single"/>
        </w:rPr>
        <w:tab/>
      </w:r>
      <w:r w:rsidR="006C3B7F">
        <w:rPr>
          <w:rFonts w:ascii="Arial" w:hAnsi="Arial"/>
          <w:sz w:val="20"/>
          <w:u w:val="single"/>
        </w:rPr>
        <w:t>July 7, 2016</w:t>
      </w:r>
      <w:r>
        <w:rPr>
          <w:rFonts w:ascii="Arial" w:hAnsi="Arial"/>
          <w:sz w:val="20"/>
          <w:u w:val="single"/>
        </w:rPr>
        <w:tab/>
      </w:r>
    </w:p>
    <w:p w:rsidR="00B220E9" w:rsidRDefault="00B220E9" w:rsidP="00B220E9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Sunset Date:  </w:t>
      </w:r>
      <w:r>
        <w:rPr>
          <w:rFonts w:ascii="Arial" w:hAnsi="Arial"/>
          <w:sz w:val="20"/>
          <w:u w:val="single"/>
        </w:rPr>
        <w:tab/>
        <w:t>None</w:t>
      </w:r>
      <w:r>
        <w:rPr>
          <w:rFonts w:ascii="Arial" w:hAnsi="Arial"/>
          <w:sz w:val="20"/>
          <w:u w:val="single"/>
        </w:rPr>
        <w:tab/>
      </w:r>
    </w:p>
    <w:p w:rsidR="00B220E9" w:rsidRDefault="00B220E9" w:rsidP="00B220E9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Ch. </w:t>
      </w:r>
      <w:r>
        <w:rPr>
          <w:rFonts w:ascii="Arial" w:hAnsi="Arial"/>
          <w:sz w:val="20"/>
          <w:u w:val="single"/>
        </w:rPr>
        <w:tab/>
      </w:r>
      <w:r w:rsidR="006C3B7F">
        <w:rPr>
          <w:rFonts w:ascii="Arial" w:hAnsi="Arial"/>
          <w:sz w:val="20"/>
          <w:u w:val="single"/>
        </w:rPr>
        <w:t>26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Laws of Mont. Co.  </w:t>
      </w:r>
      <w:r>
        <w:rPr>
          <w:rFonts w:ascii="Arial" w:hAnsi="Arial"/>
          <w:sz w:val="20"/>
          <w:u w:val="single"/>
        </w:rPr>
        <w:tab/>
      </w:r>
      <w:r w:rsidR="006C3B7F">
        <w:rPr>
          <w:rFonts w:ascii="Arial" w:hAnsi="Arial"/>
          <w:sz w:val="20"/>
          <w:u w:val="single"/>
        </w:rPr>
        <w:t>2016</w:t>
      </w:r>
      <w:r>
        <w:rPr>
          <w:rFonts w:ascii="Arial" w:hAnsi="Arial"/>
          <w:sz w:val="20"/>
          <w:u w:val="single"/>
        </w:rPr>
        <w:tab/>
      </w:r>
    </w:p>
    <w:p w:rsidR="00B220E9" w:rsidRDefault="00B220E9" w:rsidP="00B220E9">
      <w:pPr>
        <w:rPr>
          <w:rFonts w:ascii="Arial" w:hAnsi="Arial"/>
          <w:b/>
          <w:smallCaps/>
          <w:sz w:val="36"/>
        </w:rPr>
      </w:pPr>
    </w:p>
    <w:p w:rsidR="00B220E9" w:rsidRDefault="00B220E9" w:rsidP="00B220E9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B220E9" w:rsidRDefault="00B220E9" w:rsidP="00B220E9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For Montgomery County, Maryland</w:t>
      </w:r>
    </w:p>
    <w:p w:rsidR="00B220E9" w:rsidRDefault="00B220E9" w:rsidP="00B220E9">
      <w:pPr>
        <w:rPr>
          <w:rFonts w:ascii="Arial" w:hAnsi="Arial"/>
          <w:b/>
          <w:smallCaps/>
          <w:sz w:val="36"/>
        </w:rPr>
      </w:pPr>
    </w:p>
    <w:p w:rsidR="00B220E9" w:rsidRDefault="00B220E9" w:rsidP="00B220E9">
      <w:pPr>
        <w:pBdr>
          <w:top w:val="single" w:sz="6" w:space="6" w:color="auto"/>
          <w:bottom w:val="single" w:sz="6" w:space="6" w:color="auto"/>
        </w:pBdr>
        <w:jc w:val="center"/>
      </w:pPr>
      <w:r>
        <w:t xml:space="preserve">Lead Sponsor: Council President at the </w:t>
      </w:r>
      <w:r w:rsidR="0026664A">
        <w:t>r</w:t>
      </w:r>
      <w:r>
        <w:t>equest of the County Executive</w:t>
      </w:r>
    </w:p>
    <w:p w:rsidR="00B220E9" w:rsidRDefault="00B220E9" w:rsidP="00B220E9"/>
    <w:p w:rsidR="00B220E9" w:rsidRDefault="00B220E9" w:rsidP="008D0B96">
      <w:pPr>
        <w:jc w:val="both"/>
      </w:pPr>
      <w:r>
        <w:rPr>
          <w:rFonts w:ascii="Arial" w:hAnsi="Arial"/>
          <w:b/>
        </w:rPr>
        <w:t>AN EXPEDITED ACT</w:t>
      </w:r>
      <w:r>
        <w:rPr>
          <w:b/>
        </w:rPr>
        <w:t xml:space="preserve"> </w:t>
      </w:r>
      <w:r>
        <w:t>to</w:t>
      </w:r>
      <w:r w:rsidR="008D0B96">
        <w:t xml:space="preserve"> </w:t>
      </w:r>
      <w:r>
        <w:t>authorize the planning, design, and construction of the Kensington (Aspen Hill) FS 25 Addition, Project No. 450903, in the Kensington-Wheaton area</w:t>
      </w:r>
      <w:r w:rsidR="008D0B96">
        <w:t>.</w:t>
      </w:r>
    </w:p>
    <w:p w:rsidR="00B220E9" w:rsidRDefault="00B220E9" w:rsidP="00B220E9"/>
    <w:p w:rsidR="00B220E9" w:rsidRDefault="00B220E9" w:rsidP="00B220E9">
      <w:r>
        <w:t xml:space="preserve">By </w:t>
      </w:r>
      <w:r w:rsidR="008D0B96">
        <w:t>adding to</w:t>
      </w:r>
    </w:p>
    <w:p w:rsidR="00107AD8" w:rsidRDefault="00B220E9" w:rsidP="00107AD8">
      <w:r>
        <w:tab/>
      </w:r>
      <w:r w:rsidR="008D0B96">
        <w:t>L</w:t>
      </w:r>
      <w:r w:rsidR="00107AD8">
        <w:t>aws of Montgomery County 2016</w:t>
      </w:r>
    </w:p>
    <w:p w:rsidR="00B220E9" w:rsidRDefault="00B220E9" w:rsidP="00B220E9"/>
    <w:p w:rsidR="00B220E9" w:rsidRDefault="00B220E9" w:rsidP="00B220E9"/>
    <w:p w:rsidR="00B220E9" w:rsidRDefault="00B220E9" w:rsidP="00B220E9"/>
    <w:p w:rsidR="00B220E9" w:rsidRDefault="00B220E9" w:rsidP="00B220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395595" cy="1151255"/>
                <wp:effectExtent l="13335" t="15875" r="2032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20E9" w:rsidRDefault="00B220E9" w:rsidP="00B220E9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:rsidR="00B220E9" w:rsidRDefault="00B220E9" w:rsidP="00B220E9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:rsidR="00B220E9" w:rsidRDefault="00B220E9" w:rsidP="00B220E9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:rsidR="00B220E9" w:rsidRDefault="00B220E9" w:rsidP="00B220E9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:rsidR="00B220E9" w:rsidRDefault="00B220E9" w:rsidP="00B220E9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:rsidR="00B220E9" w:rsidRDefault="00B220E9" w:rsidP="00B220E9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.8pt;margin-top:.95pt;width:424.85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qG7gIAAEEGAAAOAAAAZHJzL2Uyb0RvYy54bWysVFtvmzAUfp+0/2D5nQIJ5IJKqpSQadIu&#10;1bppzw42wZqxme2UdNP++45NkibtyzQVJOSDj4+/7zuX65t9K9AD04YrmeP4KsKIyUpRLrc5/vZ1&#10;HcwwMpZISoSSLMePzOCbxds3132XsZFqlKBMIwgiTdZ3OW6s7bIwNFXDWmKuVMckbNZKt8SCqbch&#10;1aSH6K0IR1E0CXulaadVxYyBv6thEy98/Lpmlf1c14ZZJHIM2Kz/av/duG+4uCbZVpOu4dUBBvkP&#10;FC3hEi49hVoRS9BO8xehWl5pZVRtryrVhqquecU8B2ATR8/Y3DekY54LiGO6k0zm9cJWnx7uNOIU&#10;coeRJC2k6AuIRuRWMBQ7efrOZOB1391pR9B0H1T1wyCpiga82FJr1TeMUADl/cOLA84wcBRt+o+K&#10;QnSys8orta916wKCBmjvE/J4SgjbW1TBz3Q8T9N5ilEFe3GcxqM0dZhCkh2Pd9rYd0y1yC1yrAG8&#10;D08ePhg7uB5d3G1SrbkQPutCoj7HozSJIn/CKMGp2/U09XZTCI0eiCsc/xwuvnBruYXyFbzN8ezk&#10;RDKnRympv8YSLoY1oBbSBWe+MAd8YO0tLP1/oO2L5vc8mpezcpYEyWhSBkm0WgXLdZEEk3U8TVfj&#10;VVGs4j8OdZxkDaeUSQf8WMBx8m8FcmilofROJXxB0JzrsPbPSx3CSxg+P8DqktJynUbTZDwLptN0&#10;HCTjMgpuZ+siWBbxZDItb4vb8hml0stkXofVSXOHSu0gbfcN7RHlrmrG6XwE9U85TIbRdEgkImIL&#10;I62yGiOt7HduG9+PrkhdjAtlZpF7D8qcog9CHJPtrFO6DtyepILiOBaC7yDXNEPz2f1mD5XkOmmj&#10;6CP0EsBxKNzchUWj9C+MephhOTY/d0QzjMR7Cf2YAiY39M4NfW5szg0iKwiVY4vRsCzsMCh3nebb&#10;Bm6KPXGpltDDNffd9YQKqDgD5pQndZipbhCe297rafIv/gIAAP//AwBQSwMEFAAGAAgAAAAhACMM&#10;aRfeAAAACAEAAA8AAABkcnMvZG93bnJldi54bWxMj81OwzAQhO9IvIO1SNyoQyvSJo1ToQIHhFSJ&#10;woGjG2/jiHgdxW5+3p7lBMfZGc1+U+wm14oB+9B4UnC/SEAgVd40VCv4/Hi524AIUZPRrSdUMGOA&#10;XXl9Vejc+JHecTjGWnAJhVwrsDF2uZShsuh0WPgOib2z752OLPtaml6PXO5auUySVDrdEH+wusO9&#10;xer7eHEK6mE/2nl4yg6zrb5eR0qf57dUqdub6XELIuIU/8Lwi8/oUDLTyV/IBNEqeFinnOR7BoLt&#10;LFmvQJxYb1ZLkGUh/w8ofwAAAP//AwBQSwECLQAUAAYACAAAACEAtoM4kv4AAADhAQAAEwAAAAAA&#10;AAAAAAAAAAAAAAAAW0NvbnRlbnRfVHlwZXNdLnhtbFBLAQItABQABgAIAAAAIQA4/SH/1gAAAJQB&#10;AAALAAAAAAAAAAAAAAAAAC8BAABfcmVscy8ucmVsc1BLAQItABQABgAIAAAAIQChEtqG7gIAAEEG&#10;AAAOAAAAAAAAAAAAAAAAAC4CAABkcnMvZTJvRG9jLnhtbFBLAQItABQABgAIAAAAIQAjDGkX3gAA&#10;AAgBAAAPAAAAAAAAAAAAAAAAAEgFAABkcnMvZG93bnJldi54bWxQSwUGAAAAAAQABADzAAAAUwYA&#10;AAAA&#10;" o:allowincell="f" filled="f" strokeweight="2pt">
                <v:textbox inset="4pt,4pt,4pt,4pt">
                  <w:txbxContent>
                    <w:p w:rsidR="00B220E9" w:rsidRDefault="00B220E9" w:rsidP="00B220E9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:rsidR="00B220E9" w:rsidRDefault="00B220E9" w:rsidP="00B220E9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:rsidR="00B220E9" w:rsidRDefault="00B220E9" w:rsidP="00B220E9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:rsidR="00B220E9" w:rsidRDefault="00B220E9" w:rsidP="00B220E9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:rsidR="00B220E9" w:rsidRDefault="00B220E9" w:rsidP="00B220E9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:rsidR="00B220E9" w:rsidRDefault="00B220E9" w:rsidP="00B220E9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20E9" w:rsidRDefault="00B220E9" w:rsidP="00B220E9"/>
    <w:p w:rsidR="00B220E9" w:rsidRDefault="00B220E9" w:rsidP="00B220E9"/>
    <w:p w:rsidR="00B220E9" w:rsidRDefault="00B220E9" w:rsidP="00B220E9"/>
    <w:p w:rsidR="00B220E9" w:rsidRDefault="00B220E9" w:rsidP="00B220E9"/>
    <w:p w:rsidR="00B220E9" w:rsidRDefault="00B220E9" w:rsidP="00B220E9"/>
    <w:p w:rsidR="00B220E9" w:rsidRDefault="00B220E9" w:rsidP="00B220E9"/>
    <w:p w:rsidR="00B220E9" w:rsidRDefault="00B220E9" w:rsidP="00B220E9">
      <w:pPr>
        <w:sectPr w:rsidR="00B220E9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  <w:r>
        <w:rPr>
          <w:i/>
          <w:sz w:val="27"/>
        </w:rPr>
        <w:t>The County Council for Montgomery County, Maryland approves the following Act:</w:t>
      </w:r>
      <w:bookmarkStart w:id="0" w:name="BillText"/>
      <w:bookmarkEnd w:id="0"/>
      <w:r>
        <w:t xml:space="preserve"> </w:t>
      </w:r>
    </w:p>
    <w:p w:rsidR="00107AD8" w:rsidRPr="00107AD8" w:rsidRDefault="00107AD8" w:rsidP="008D0B96">
      <w:pPr>
        <w:spacing w:line="360" w:lineRule="auto"/>
        <w:ind w:firstLine="720"/>
        <w:rPr>
          <w:sz w:val="28"/>
          <w:szCs w:val="28"/>
        </w:rPr>
      </w:pPr>
      <w:r w:rsidRPr="00107AD8">
        <w:rPr>
          <w:b/>
          <w:sz w:val="28"/>
          <w:szCs w:val="28"/>
        </w:rPr>
        <w:lastRenderedPageBreak/>
        <w:t>Sec. 1.</w:t>
      </w:r>
      <w:r w:rsidR="002A6172">
        <w:rPr>
          <w:sz w:val="28"/>
          <w:szCs w:val="28"/>
        </w:rPr>
        <w:t xml:space="preserve">  </w:t>
      </w:r>
      <w:r w:rsidRPr="002A6172">
        <w:rPr>
          <w:b/>
          <w:sz w:val="28"/>
          <w:szCs w:val="28"/>
        </w:rPr>
        <w:t xml:space="preserve">The laws of Montgomery County, Maryland, are </w:t>
      </w:r>
      <w:r w:rsidR="008D0B96">
        <w:rPr>
          <w:b/>
          <w:sz w:val="28"/>
          <w:szCs w:val="28"/>
        </w:rPr>
        <w:t xml:space="preserve">amended to read </w:t>
      </w:r>
      <w:r w:rsidRPr="002A6172">
        <w:rPr>
          <w:b/>
          <w:sz w:val="28"/>
          <w:szCs w:val="28"/>
        </w:rPr>
        <w:t>as follows:</w:t>
      </w:r>
      <w:r w:rsidRPr="00107AD8">
        <w:rPr>
          <w:sz w:val="28"/>
          <w:szCs w:val="28"/>
        </w:rPr>
        <w:t xml:space="preserve"> </w:t>
      </w:r>
    </w:p>
    <w:p w:rsidR="00107AD8" w:rsidRPr="00107AD8" w:rsidRDefault="00107AD8" w:rsidP="00B44884">
      <w:pPr>
        <w:widowControl w:val="0"/>
        <w:spacing w:line="360" w:lineRule="auto"/>
        <w:jc w:val="both"/>
        <w:rPr>
          <w:sz w:val="28"/>
          <w:szCs w:val="28"/>
        </w:rPr>
      </w:pPr>
      <w:r w:rsidRPr="00107AD8">
        <w:rPr>
          <w:sz w:val="28"/>
          <w:szCs w:val="28"/>
        </w:rPr>
        <w:tab/>
        <w:t>Montgomery County, Maryland, is authorized to plan, design, and construct the Kensington (Aspen Hill) FS 25 Project No. 450903, in the Kensington-Wheaton area.  This authorization includes all necessary planning, design, site improvements, utility, equipment, and structures.</w:t>
      </w:r>
    </w:p>
    <w:p w:rsidR="00B220E9" w:rsidRPr="00FF4DB9" w:rsidRDefault="00B220E9" w:rsidP="002A6172">
      <w:pPr>
        <w:widowControl w:val="0"/>
        <w:spacing w:line="360" w:lineRule="auto"/>
        <w:ind w:left="720" w:hanging="720"/>
        <w:rPr>
          <w:sz w:val="28"/>
          <w:szCs w:val="28"/>
        </w:rPr>
      </w:pPr>
      <w:r>
        <w:tab/>
      </w:r>
      <w:r w:rsidR="002A6172">
        <w:rPr>
          <w:b/>
          <w:sz w:val="28"/>
          <w:szCs w:val="28"/>
        </w:rPr>
        <w:t xml:space="preserve">Sec. 2.  </w:t>
      </w:r>
      <w:r w:rsidRPr="00FF4DB9">
        <w:rPr>
          <w:b/>
          <w:sz w:val="28"/>
          <w:szCs w:val="28"/>
        </w:rPr>
        <w:t>Expedited Effective Date.</w:t>
      </w:r>
    </w:p>
    <w:p w:rsidR="00B220E9" w:rsidRPr="00FF4DB9" w:rsidRDefault="00B220E9" w:rsidP="002A6172">
      <w:pPr>
        <w:widowControl w:val="0"/>
        <w:spacing w:line="360" w:lineRule="auto"/>
        <w:jc w:val="both"/>
        <w:rPr>
          <w:sz w:val="28"/>
          <w:szCs w:val="28"/>
        </w:rPr>
      </w:pPr>
      <w:r w:rsidRPr="00FF4DB9">
        <w:rPr>
          <w:sz w:val="28"/>
          <w:szCs w:val="28"/>
        </w:rPr>
        <w:tab/>
        <w:t>The Council declares that this legislation is necessary for the immediate protection of the public interest.  This Act takes effect on the date on which it becomes law.</w:t>
      </w:r>
    </w:p>
    <w:p w:rsidR="00B220E9" w:rsidRDefault="00B220E9" w:rsidP="00B220E9">
      <w:pPr>
        <w:keepNext/>
        <w:keepLines/>
        <w:spacing w:line="360" w:lineRule="auto"/>
      </w:pPr>
      <w:r>
        <w:rPr>
          <w:i/>
        </w:rPr>
        <w:t>Approved:</w:t>
      </w:r>
    </w:p>
    <w:p w:rsidR="00B220E9" w:rsidRPr="006C3B7F" w:rsidRDefault="00B220E9" w:rsidP="00B220E9">
      <w:pPr>
        <w:keepNext/>
        <w:keepLines/>
        <w:suppressLineNumbers/>
        <w:spacing w:line="360" w:lineRule="auto"/>
        <w:rPr>
          <w:szCs w:val="24"/>
        </w:rPr>
      </w:pPr>
    </w:p>
    <w:p w:rsidR="006C3B7F" w:rsidRPr="006C3B7F" w:rsidRDefault="006C3B7F" w:rsidP="006C3B7F">
      <w:pPr>
        <w:keepNext/>
        <w:keepLines/>
        <w:spacing w:line="360" w:lineRule="auto"/>
        <w:rPr>
          <w:spacing w:val="0"/>
          <w:szCs w:val="24"/>
        </w:rPr>
      </w:pPr>
      <w:r w:rsidRPr="006C3B7F">
        <w:rPr>
          <w:spacing w:val="0"/>
          <w:szCs w:val="24"/>
          <w:highlight w:val="yellow"/>
        </w:rPr>
        <w:t>/s/</w:t>
      </w:r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</w:r>
      <w:bookmarkStart w:id="1" w:name="_GoBack"/>
      <w:bookmarkEnd w:id="1"/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  <w:t>6/29/16</w:t>
      </w:r>
    </w:p>
    <w:p w:rsidR="006C3B7F" w:rsidRPr="006C3B7F" w:rsidRDefault="006C3B7F" w:rsidP="006C3B7F">
      <w:pPr>
        <w:suppressLineNumbers/>
        <w:pBdr>
          <w:top w:val="single" w:sz="6" w:space="1" w:color="auto"/>
        </w:pBdr>
        <w:spacing w:line="360" w:lineRule="auto"/>
        <w:rPr>
          <w:spacing w:val="0"/>
          <w:szCs w:val="24"/>
        </w:rPr>
      </w:pPr>
      <w:r w:rsidRPr="006C3B7F">
        <w:rPr>
          <w:spacing w:val="0"/>
          <w:szCs w:val="24"/>
        </w:rPr>
        <w:t xml:space="preserve">Nancy </w:t>
      </w:r>
      <w:proofErr w:type="spellStart"/>
      <w:r w:rsidRPr="006C3B7F">
        <w:rPr>
          <w:spacing w:val="0"/>
          <w:szCs w:val="24"/>
        </w:rPr>
        <w:t>Floreen</w:t>
      </w:r>
      <w:proofErr w:type="spellEnd"/>
      <w:r w:rsidRPr="006C3B7F">
        <w:rPr>
          <w:spacing w:val="0"/>
          <w:szCs w:val="24"/>
        </w:rPr>
        <w:t>, President, County Council</w:t>
      </w:r>
      <w:r w:rsidRPr="006C3B7F">
        <w:rPr>
          <w:spacing w:val="0"/>
          <w:szCs w:val="24"/>
        </w:rPr>
        <w:tab/>
      </w:r>
      <w:r w:rsidRPr="006C3B7F">
        <w:rPr>
          <w:spacing w:val="0"/>
          <w:szCs w:val="24"/>
        </w:rPr>
        <w:tab/>
      </w:r>
      <w:r w:rsidRPr="006C3B7F">
        <w:rPr>
          <w:spacing w:val="0"/>
          <w:szCs w:val="24"/>
        </w:rPr>
        <w:tab/>
      </w:r>
      <w:r w:rsidRPr="006C3B7F">
        <w:rPr>
          <w:spacing w:val="0"/>
          <w:szCs w:val="24"/>
        </w:rPr>
        <w:tab/>
        <w:t>Date</w:t>
      </w:r>
    </w:p>
    <w:p w:rsidR="006C3B7F" w:rsidRPr="006C3B7F" w:rsidRDefault="006C3B7F" w:rsidP="006C3B7F">
      <w:pPr>
        <w:keepNext/>
        <w:keepLines/>
        <w:spacing w:line="360" w:lineRule="auto"/>
        <w:rPr>
          <w:spacing w:val="0"/>
          <w:szCs w:val="24"/>
        </w:rPr>
      </w:pPr>
      <w:r w:rsidRPr="006C3B7F">
        <w:rPr>
          <w:i/>
          <w:spacing w:val="0"/>
          <w:szCs w:val="24"/>
        </w:rPr>
        <w:t>Approved:</w:t>
      </w:r>
    </w:p>
    <w:p w:rsidR="006C3B7F" w:rsidRPr="006C3B7F" w:rsidRDefault="006C3B7F" w:rsidP="006C3B7F">
      <w:pPr>
        <w:keepNext/>
        <w:keepLines/>
        <w:suppressLineNumbers/>
        <w:spacing w:line="360" w:lineRule="auto"/>
        <w:rPr>
          <w:spacing w:val="0"/>
          <w:szCs w:val="24"/>
        </w:rPr>
      </w:pPr>
    </w:p>
    <w:p w:rsidR="006C3B7F" w:rsidRPr="006C3B7F" w:rsidRDefault="006C3B7F" w:rsidP="006C3B7F">
      <w:pPr>
        <w:keepNext/>
        <w:keepLines/>
        <w:spacing w:line="360" w:lineRule="auto"/>
        <w:rPr>
          <w:spacing w:val="0"/>
          <w:szCs w:val="24"/>
        </w:rPr>
      </w:pPr>
      <w:r w:rsidRPr="006C3B7F">
        <w:rPr>
          <w:spacing w:val="0"/>
          <w:szCs w:val="24"/>
          <w:highlight w:val="yellow"/>
        </w:rPr>
        <w:t>/s/</w:t>
      </w:r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  <w:t>7/7/16</w:t>
      </w:r>
    </w:p>
    <w:p w:rsidR="006C3B7F" w:rsidRPr="006C3B7F" w:rsidRDefault="006C3B7F" w:rsidP="006C3B7F">
      <w:pPr>
        <w:keepLines/>
        <w:suppressLineNumbers/>
        <w:pBdr>
          <w:top w:val="single" w:sz="6" w:space="1" w:color="auto"/>
        </w:pBdr>
        <w:spacing w:line="360" w:lineRule="auto"/>
        <w:rPr>
          <w:spacing w:val="0"/>
          <w:szCs w:val="24"/>
        </w:rPr>
      </w:pPr>
      <w:r w:rsidRPr="006C3B7F">
        <w:rPr>
          <w:spacing w:val="0"/>
          <w:szCs w:val="24"/>
        </w:rPr>
        <w:t>Isiah Leggett, County Executive</w:t>
      </w:r>
      <w:r w:rsidRPr="006C3B7F">
        <w:rPr>
          <w:spacing w:val="0"/>
          <w:szCs w:val="24"/>
        </w:rPr>
        <w:tab/>
      </w:r>
      <w:r w:rsidRPr="006C3B7F">
        <w:rPr>
          <w:spacing w:val="0"/>
          <w:szCs w:val="24"/>
        </w:rPr>
        <w:tab/>
      </w:r>
      <w:r w:rsidRPr="006C3B7F">
        <w:rPr>
          <w:spacing w:val="0"/>
          <w:szCs w:val="24"/>
        </w:rPr>
        <w:tab/>
      </w:r>
      <w:r w:rsidRPr="006C3B7F">
        <w:rPr>
          <w:spacing w:val="0"/>
          <w:szCs w:val="24"/>
        </w:rPr>
        <w:tab/>
      </w:r>
      <w:r w:rsidRPr="006C3B7F">
        <w:rPr>
          <w:spacing w:val="0"/>
          <w:szCs w:val="24"/>
        </w:rPr>
        <w:tab/>
        <w:t>Date</w:t>
      </w:r>
    </w:p>
    <w:p w:rsidR="006C3B7F" w:rsidRPr="006C3B7F" w:rsidRDefault="006C3B7F" w:rsidP="006C3B7F">
      <w:pPr>
        <w:keepNext/>
        <w:keepLines/>
        <w:spacing w:line="360" w:lineRule="auto"/>
        <w:rPr>
          <w:spacing w:val="0"/>
          <w:szCs w:val="24"/>
        </w:rPr>
      </w:pPr>
      <w:r w:rsidRPr="006C3B7F">
        <w:rPr>
          <w:i/>
          <w:spacing w:val="0"/>
          <w:szCs w:val="24"/>
        </w:rPr>
        <w:t>This is a correct copy of Council action.</w:t>
      </w:r>
    </w:p>
    <w:p w:rsidR="006C3B7F" w:rsidRPr="006C3B7F" w:rsidRDefault="006C3B7F" w:rsidP="006C3B7F">
      <w:pPr>
        <w:keepNext/>
        <w:keepLines/>
        <w:suppressLineNumbers/>
        <w:spacing w:line="360" w:lineRule="auto"/>
        <w:rPr>
          <w:spacing w:val="0"/>
          <w:szCs w:val="24"/>
        </w:rPr>
      </w:pPr>
    </w:p>
    <w:p w:rsidR="006C3B7F" w:rsidRPr="006C3B7F" w:rsidRDefault="006C3B7F" w:rsidP="006C3B7F">
      <w:pPr>
        <w:keepNext/>
        <w:keepLines/>
        <w:spacing w:line="360" w:lineRule="auto"/>
        <w:rPr>
          <w:spacing w:val="0"/>
          <w:szCs w:val="24"/>
        </w:rPr>
      </w:pPr>
      <w:r w:rsidRPr="006C3B7F">
        <w:rPr>
          <w:spacing w:val="0"/>
          <w:szCs w:val="24"/>
          <w:highlight w:val="yellow"/>
        </w:rPr>
        <w:t>/s/</w:t>
      </w:r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</w:r>
      <w:r w:rsidRPr="006C3B7F">
        <w:rPr>
          <w:spacing w:val="0"/>
          <w:szCs w:val="24"/>
          <w:highlight w:val="yellow"/>
        </w:rPr>
        <w:tab/>
        <w:t>7/8/16</w:t>
      </w:r>
      <w:r w:rsidR="00FC3736">
        <w:rPr>
          <w:spacing w:val="0"/>
          <w:szCs w:val="24"/>
        </w:rPr>
        <w:t xml:space="preserve"> </w:t>
      </w:r>
    </w:p>
    <w:p w:rsidR="006C3B7F" w:rsidRPr="006C3B7F" w:rsidRDefault="006C3B7F" w:rsidP="006C3B7F">
      <w:pPr>
        <w:suppressLineNumbers/>
        <w:pBdr>
          <w:top w:val="single" w:sz="6" w:space="1" w:color="auto"/>
        </w:pBdr>
        <w:spacing w:line="360" w:lineRule="auto"/>
        <w:rPr>
          <w:spacing w:val="0"/>
          <w:szCs w:val="24"/>
        </w:rPr>
      </w:pPr>
      <w:r w:rsidRPr="006C3B7F">
        <w:rPr>
          <w:spacing w:val="0"/>
          <w:szCs w:val="24"/>
        </w:rPr>
        <w:t>Linda M. Lauer, Clerk of the Council</w:t>
      </w:r>
      <w:r w:rsidRPr="006C3B7F">
        <w:rPr>
          <w:spacing w:val="0"/>
          <w:szCs w:val="24"/>
        </w:rPr>
        <w:tab/>
      </w:r>
      <w:r w:rsidRPr="006C3B7F">
        <w:rPr>
          <w:spacing w:val="0"/>
          <w:szCs w:val="24"/>
        </w:rPr>
        <w:tab/>
      </w:r>
      <w:r w:rsidRPr="006C3B7F">
        <w:rPr>
          <w:spacing w:val="0"/>
          <w:szCs w:val="24"/>
        </w:rPr>
        <w:tab/>
      </w:r>
      <w:r w:rsidRPr="006C3B7F">
        <w:rPr>
          <w:spacing w:val="0"/>
          <w:szCs w:val="24"/>
        </w:rPr>
        <w:tab/>
      </w:r>
      <w:r w:rsidRPr="006C3B7F">
        <w:rPr>
          <w:spacing w:val="0"/>
          <w:szCs w:val="24"/>
        </w:rPr>
        <w:tab/>
        <w:t>Date</w:t>
      </w:r>
    </w:p>
    <w:p w:rsidR="00510B38" w:rsidRPr="006C3B7F" w:rsidRDefault="00510B38">
      <w:pPr>
        <w:rPr>
          <w:szCs w:val="24"/>
        </w:rPr>
      </w:pPr>
    </w:p>
    <w:sectPr w:rsidR="00510B38" w:rsidRPr="006C3B7F" w:rsidSect="00A662F3">
      <w:pgSz w:w="12240" w:h="15840" w:code="1"/>
      <w:pgMar w:top="1440" w:right="1008" w:bottom="634" w:left="1872" w:header="720" w:footer="720" w:gutter="0"/>
      <w:lnNumType w:countBy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D8" w:rsidRDefault="00107AD8" w:rsidP="00107AD8">
      <w:r>
        <w:separator/>
      </w:r>
    </w:p>
  </w:endnote>
  <w:endnote w:type="continuationSeparator" w:id="0">
    <w:p w:rsidR="00107AD8" w:rsidRDefault="00107AD8" w:rsidP="0010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5E" w:rsidRDefault="00B44884">
    <w:pPr>
      <w:tabs>
        <w:tab w:val="center" w:pos="4680"/>
        <w:tab w:val="right" w:pos="9360"/>
      </w:tabs>
      <w:rPr>
        <w:rFonts w:ascii="Arial" w:hAnsi="Arial"/>
        <w:sz w:val="16"/>
      </w:rPr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C2D03">
      <w:rPr>
        <w:noProof/>
      </w:rPr>
      <w:t>2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D8" w:rsidRDefault="00107AD8" w:rsidP="00107AD8">
      <w:r>
        <w:separator/>
      </w:r>
    </w:p>
  </w:footnote>
  <w:footnote w:type="continuationSeparator" w:id="0">
    <w:p w:rsidR="00107AD8" w:rsidRDefault="00107AD8" w:rsidP="0010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5E" w:rsidRDefault="00B44884">
    <w:pPr>
      <w:pStyle w:val="Header"/>
      <w:jc w:val="right"/>
    </w:pPr>
    <w:r>
      <w:rPr>
        <w:rFonts w:ascii="Arial" w:hAnsi="Arial"/>
        <w:smallCaps/>
        <w:sz w:val="20"/>
      </w:rPr>
      <w:t xml:space="preserve">Expedited Bill No. </w:t>
    </w:r>
    <w:r w:rsidR="009D2F90">
      <w:rPr>
        <w:rFonts w:ascii="Arial" w:hAnsi="Arial"/>
        <w:smallCaps/>
        <w:sz w:val="20"/>
      </w:rPr>
      <w:t>23</w:t>
    </w:r>
    <w:r>
      <w:rPr>
        <w:rFonts w:ascii="Arial" w:hAnsi="Arial"/>
        <w:smallCaps/>
        <w:sz w:val="20"/>
      </w:rPr>
      <w:t>-16</w:t>
    </w:r>
  </w:p>
  <w:p w:rsidR="00E16D5E" w:rsidRDefault="004C2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E9"/>
    <w:rsid w:val="00015B7A"/>
    <w:rsid w:val="00035B9F"/>
    <w:rsid w:val="00093122"/>
    <w:rsid w:val="00107AD8"/>
    <w:rsid w:val="001601CA"/>
    <w:rsid w:val="00164AFB"/>
    <w:rsid w:val="00164FB9"/>
    <w:rsid w:val="00170EB8"/>
    <w:rsid w:val="001C007C"/>
    <w:rsid w:val="001C74C6"/>
    <w:rsid w:val="002036B0"/>
    <w:rsid w:val="00243AAC"/>
    <w:rsid w:val="0026664A"/>
    <w:rsid w:val="002A5E81"/>
    <w:rsid w:val="002A6172"/>
    <w:rsid w:val="0039126E"/>
    <w:rsid w:val="0040372C"/>
    <w:rsid w:val="004C2D03"/>
    <w:rsid w:val="004E787A"/>
    <w:rsid w:val="00510B38"/>
    <w:rsid w:val="00532EEB"/>
    <w:rsid w:val="0059471B"/>
    <w:rsid w:val="005B0DDB"/>
    <w:rsid w:val="005B537C"/>
    <w:rsid w:val="005F6C5C"/>
    <w:rsid w:val="006556C0"/>
    <w:rsid w:val="006B057A"/>
    <w:rsid w:val="006C3B7F"/>
    <w:rsid w:val="00702F35"/>
    <w:rsid w:val="008104BE"/>
    <w:rsid w:val="0086037E"/>
    <w:rsid w:val="008D0B96"/>
    <w:rsid w:val="0096095C"/>
    <w:rsid w:val="009D2F90"/>
    <w:rsid w:val="00A662F3"/>
    <w:rsid w:val="00B220E9"/>
    <w:rsid w:val="00B44884"/>
    <w:rsid w:val="00B47F77"/>
    <w:rsid w:val="00B50483"/>
    <w:rsid w:val="00BD2F7E"/>
    <w:rsid w:val="00CD32FF"/>
    <w:rsid w:val="00CE49A9"/>
    <w:rsid w:val="00D24FF4"/>
    <w:rsid w:val="00D31D7F"/>
    <w:rsid w:val="00D621CD"/>
    <w:rsid w:val="00DB0820"/>
    <w:rsid w:val="00DD12F2"/>
    <w:rsid w:val="00E25939"/>
    <w:rsid w:val="00E402CF"/>
    <w:rsid w:val="00F10BDE"/>
    <w:rsid w:val="00FB7349"/>
    <w:rsid w:val="00FC3736"/>
    <w:rsid w:val="00FC43B4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43BD4-5264-4475-BB6A-01FFD1FF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0E9"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2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20E9"/>
    <w:rPr>
      <w:spacing w:val="-3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B220E9"/>
  </w:style>
  <w:style w:type="paragraph" w:styleId="Footer">
    <w:name w:val="footer"/>
    <w:basedOn w:val="Normal"/>
    <w:link w:val="FooterChar"/>
    <w:uiPriority w:val="99"/>
    <w:unhideWhenUsed/>
    <w:rsid w:val="00107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AD8"/>
    <w:rPr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90"/>
    <w:rPr>
      <w:rFonts w:ascii="Segoe UI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512C-AEC9-4215-B76E-4E766105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225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Pecoraro, Karen</dc:creator>
  <cp:keywords/>
  <dc:description/>
  <cp:lastModifiedBy>Medrano-Rivera, Nubia</cp:lastModifiedBy>
  <cp:revision>5</cp:revision>
  <cp:lastPrinted>2016-07-08T17:11:00Z</cp:lastPrinted>
  <dcterms:created xsi:type="dcterms:W3CDTF">2016-06-29T13:10:00Z</dcterms:created>
  <dcterms:modified xsi:type="dcterms:W3CDTF">2016-07-08T17:12:00Z</dcterms:modified>
</cp:coreProperties>
</file>