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98ED" w14:textId="46EA08E5" w:rsidR="00434C4E" w:rsidRPr="00276331" w:rsidRDefault="00276331" w:rsidP="005F5B1F">
      <w:pPr>
        <w:spacing w:after="0"/>
        <w:jc w:val="right"/>
        <w:rPr>
          <w:lang w:val="es-ES"/>
        </w:rPr>
      </w:pPr>
      <w:r>
        <w:rPr>
          <w:lang w:val="es"/>
        </w:rPr>
        <w:t>Fecha: ___________________</w:t>
      </w:r>
    </w:p>
    <w:p w14:paraId="70F38B6C" w14:textId="658C573F" w:rsidR="005F5B1F" w:rsidRPr="00276331" w:rsidRDefault="00276331" w:rsidP="005F5B1F">
      <w:pPr>
        <w:spacing w:after="0" w:line="360" w:lineRule="auto"/>
        <w:rPr>
          <w:lang w:val="es-ES"/>
        </w:rPr>
      </w:pPr>
      <w:r>
        <w:rPr>
          <w:lang w:val="es"/>
        </w:rPr>
        <w:t>_______________________________</w:t>
      </w:r>
    </w:p>
    <w:p w14:paraId="04830166" w14:textId="77777777" w:rsidR="009C6DF9" w:rsidRPr="00276331" w:rsidRDefault="00276331" w:rsidP="009C6DF9">
      <w:pPr>
        <w:spacing w:after="0" w:line="360" w:lineRule="auto"/>
        <w:rPr>
          <w:lang w:val="es-ES"/>
        </w:rPr>
      </w:pPr>
      <w:r>
        <w:rPr>
          <w:lang w:val="es"/>
        </w:rPr>
        <w:t>_______________________________</w:t>
      </w:r>
    </w:p>
    <w:p w14:paraId="30D94E25" w14:textId="77777777" w:rsidR="009C6DF9" w:rsidRPr="00276331" w:rsidRDefault="00276331" w:rsidP="00F02008">
      <w:pPr>
        <w:spacing w:after="0" w:line="240" w:lineRule="auto"/>
        <w:rPr>
          <w:lang w:val="es-ES"/>
        </w:rPr>
      </w:pPr>
      <w:r>
        <w:rPr>
          <w:lang w:val="es"/>
        </w:rPr>
        <w:t>_______________________________</w:t>
      </w:r>
    </w:p>
    <w:p w14:paraId="3644C432" w14:textId="77777777" w:rsidR="00D12ED7" w:rsidRPr="00276331" w:rsidRDefault="00D12ED7" w:rsidP="00F02008">
      <w:pPr>
        <w:spacing w:after="0" w:line="240" w:lineRule="auto"/>
        <w:rPr>
          <w:lang w:val="es-ES"/>
        </w:rPr>
      </w:pPr>
    </w:p>
    <w:p w14:paraId="2D83C01F" w14:textId="77777777" w:rsidR="00F02008" w:rsidRPr="00276331" w:rsidRDefault="00F02008" w:rsidP="00F02008">
      <w:pPr>
        <w:spacing w:after="0" w:line="240" w:lineRule="auto"/>
        <w:rPr>
          <w:lang w:val="es-ES"/>
        </w:rPr>
      </w:pPr>
    </w:p>
    <w:p w14:paraId="0DBDA350" w14:textId="4A38A273" w:rsidR="00A55D53" w:rsidRPr="00276331" w:rsidRDefault="00276331" w:rsidP="00C47568">
      <w:pPr>
        <w:spacing w:after="0"/>
        <w:rPr>
          <w:lang w:val="es-ES"/>
        </w:rPr>
      </w:pPr>
      <w:r>
        <w:rPr>
          <w:lang w:val="es"/>
        </w:rPr>
        <w:t>Estimado(a) [</w:t>
      </w:r>
      <w:proofErr w:type="spellStart"/>
      <w:r>
        <w:rPr>
          <w:lang w:val="es"/>
        </w:rPr>
        <w:t>Tenant’s</w:t>
      </w:r>
      <w:proofErr w:type="spellEnd"/>
      <w:r>
        <w:rPr>
          <w:lang w:val="es"/>
        </w:rPr>
        <w:t xml:space="preserve"> </w:t>
      </w:r>
      <w:proofErr w:type="spellStart"/>
      <w:r>
        <w:rPr>
          <w:lang w:val="es"/>
        </w:rPr>
        <w:t>Name</w:t>
      </w:r>
      <w:proofErr w:type="spellEnd"/>
      <w:r>
        <w:rPr>
          <w:lang w:val="es"/>
        </w:rPr>
        <w:t>]:</w:t>
      </w:r>
    </w:p>
    <w:p w14:paraId="5748472C" w14:textId="77777777" w:rsidR="00C47568" w:rsidRPr="00276331" w:rsidRDefault="00C47568" w:rsidP="00C47568">
      <w:pPr>
        <w:spacing w:after="0"/>
        <w:rPr>
          <w:lang w:val="es-ES"/>
        </w:rPr>
      </w:pPr>
    </w:p>
    <w:p w14:paraId="0ABE4B22" w14:textId="38C007EB" w:rsidR="00975597" w:rsidRPr="00276331" w:rsidRDefault="00276331" w:rsidP="004A26BE">
      <w:pPr>
        <w:spacing w:after="0"/>
        <w:rPr>
          <w:lang w:val="es-ES"/>
        </w:rPr>
      </w:pPr>
      <w:r>
        <w:rPr>
          <w:lang w:val="es"/>
        </w:rPr>
        <w:t xml:space="preserve">Queremos hacerle saber que para nosotros usted es un arrendatario muy preciado en este inmueble. La presente notificación formal tiene como finalidad informarle sobre el aumento del canon de alquiler que entrará en vigor en los próximos días.  </w:t>
      </w:r>
    </w:p>
    <w:p w14:paraId="1A767624" w14:textId="77777777" w:rsidR="004A26BE" w:rsidRPr="00276331" w:rsidRDefault="004A26BE" w:rsidP="004A26BE">
      <w:pPr>
        <w:spacing w:after="0"/>
        <w:rPr>
          <w:lang w:val="es-ES"/>
        </w:rPr>
      </w:pPr>
    </w:p>
    <w:p w14:paraId="0721B78A" w14:textId="7FF8D4E7" w:rsidR="00A55D53" w:rsidRDefault="00276331" w:rsidP="004A26BE">
      <w:pPr>
        <w:spacing w:after="0"/>
      </w:pPr>
      <w:r w:rsidRPr="00CF7DD2">
        <w:rPr>
          <w:lang w:val="es"/>
        </w:rPr>
        <w:t>La vivienda que usted tiene en alquiler está amparada por la ley de estabilización del canon de arrendamiento del condado de Montgomery, que impone un límite a los aumentos del canon de arrendamiento que pueden realizarse. A continuación, verá los detalles de dicho aumento:</w:t>
      </w:r>
    </w:p>
    <w:p w14:paraId="39E02B8C" w14:textId="77777777" w:rsidR="00276D67" w:rsidRDefault="00276D67" w:rsidP="00276D67">
      <w:pPr>
        <w:spacing w:after="0" w:line="240" w:lineRule="auto"/>
      </w:pPr>
    </w:p>
    <w:tbl>
      <w:tblPr>
        <w:tblStyle w:val="TableGrid"/>
        <w:tblW w:w="0" w:type="auto"/>
        <w:tblLook w:val="04A0" w:firstRow="1" w:lastRow="0" w:firstColumn="1" w:lastColumn="0" w:noHBand="0" w:noVBand="1"/>
      </w:tblPr>
      <w:tblGrid>
        <w:gridCol w:w="4135"/>
        <w:gridCol w:w="1798"/>
        <w:gridCol w:w="1708"/>
        <w:gridCol w:w="1709"/>
      </w:tblGrid>
      <w:tr w:rsidR="00B157C4" w:rsidRPr="00276331" w14:paraId="00D89525" w14:textId="77777777">
        <w:trPr>
          <w:trHeight w:val="432"/>
        </w:trPr>
        <w:tc>
          <w:tcPr>
            <w:tcW w:w="9350" w:type="dxa"/>
            <w:gridSpan w:val="4"/>
            <w:vAlign w:val="center"/>
          </w:tcPr>
          <w:p w14:paraId="67F36E3A" w14:textId="77777777" w:rsidR="00276D67" w:rsidRPr="00276331" w:rsidRDefault="00276331">
            <w:pPr>
              <w:jc w:val="center"/>
              <w:rPr>
                <w:b/>
                <w:bCs/>
                <w:lang w:val="es-ES"/>
              </w:rPr>
            </w:pPr>
            <w:r>
              <w:rPr>
                <w:b/>
                <w:bCs/>
                <w:lang w:val="es"/>
              </w:rPr>
              <w:t>Opción mes a mes, a 12 o 24 meses</w:t>
            </w:r>
          </w:p>
        </w:tc>
      </w:tr>
      <w:tr w:rsidR="00B157C4" w14:paraId="2B4CCD4E" w14:textId="77777777" w:rsidTr="00C2127B">
        <w:trPr>
          <w:trHeight w:val="432"/>
        </w:trPr>
        <w:tc>
          <w:tcPr>
            <w:tcW w:w="4135" w:type="dxa"/>
            <w:vAlign w:val="center"/>
          </w:tcPr>
          <w:p w14:paraId="4A46E249" w14:textId="77777777" w:rsidR="00E6104B" w:rsidRPr="00276331" w:rsidRDefault="00E6104B" w:rsidP="00C2127B">
            <w:pPr>
              <w:rPr>
                <w:lang w:val="es-ES"/>
              </w:rPr>
            </w:pPr>
          </w:p>
        </w:tc>
        <w:tc>
          <w:tcPr>
            <w:tcW w:w="1798" w:type="dxa"/>
            <w:vAlign w:val="center"/>
          </w:tcPr>
          <w:p w14:paraId="1C63D706" w14:textId="28D47A81" w:rsidR="00E6104B" w:rsidRPr="00F558AC" w:rsidRDefault="00276331" w:rsidP="00E6104B">
            <w:pPr>
              <w:jc w:val="center"/>
            </w:pPr>
            <w:r w:rsidRPr="00F558AC">
              <w:rPr>
                <w:lang w:val="es"/>
              </w:rPr>
              <w:t>Mes a mes</w:t>
            </w:r>
          </w:p>
        </w:tc>
        <w:tc>
          <w:tcPr>
            <w:tcW w:w="1708" w:type="dxa"/>
            <w:vAlign w:val="center"/>
          </w:tcPr>
          <w:p w14:paraId="3D3CC61D" w14:textId="0751E7FF" w:rsidR="00E6104B" w:rsidRPr="00F558AC" w:rsidRDefault="00276331" w:rsidP="00E6104B">
            <w:pPr>
              <w:jc w:val="center"/>
            </w:pPr>
            <w:r w:rsidRPr="00F558AC">
              <w:rPr>
                <w:lang w:val="es"/>
              </w:rPr>
              <w:t>12 meses</w:t>
            </w:r>
          </w:p>
        </w:tc>
        <w:tc>
          <w:tcPr>
            <w:tcW w:w="1709" w:type="dxa"/>
            <w:vAlign w:val="center"/>
          </w:tcPr>
          <w:p w14:paraId="5F892492" w14:textId="631852D3" w:rsidR="00E6104B" w:rsidRPr="00F558AC" w:rsidRDefault="00276331" w:rsidP="00E6104B">
            <w:pPr>
              <w:jc w:val="center"/>
            </w:pPr>
            <w:r w:rsidRPr="00F558AC">
              <w:rPr>
                <w:lang w:val="es"/>
              </w:rPr>
              <w:t>24 meses</w:t>
            </w:r>
          </w:p>
        </w:tc>
      </w:tr>
      <w:tr w:rsidR="00B157C4" w14:paraId="28EF3A6C" w14:textId="77777777" w:rsidTr="00C2127B">
        <w:trPr>
          <w:trHeight w:val="432"/>
        </w:trPr>
        <w:tc>
          <w:tcPr>
            <w:tcW w:w="4135" w:type="dxa"/>
            <w:vAlign w:val="center"/>
          </w:tcPr>
          <w:p w14:paraId="3C6D0220" w14:textId="39BCAED8" w:rsidR="006F5365" w:rsidRPr="00276331" w:rsidRDefault="00276331" w:rsidP="00C2127B">
            <w:pPr>
              <w:rPr>
                <w:lang w:val="es-ES"/>
              </w:rPr>
            </w:pPr>
            <w:r>
              <w:rPr>
                <w:lang w:val="es"/>
              </w:rPr>
              <w:t xml:space="preserve">Canon de alquiler </w:t>
            </w:r>
            <w:r w:rsidRPr="00EB60EB">
              <w:rPr>
                <w:b/>
                <w:bCs/>
                <w:lang w:val="es"/>
              </w:rPr>
              <w:t>que paga actualmente</w:t>
            </w:r>
            <w:r>
              <w:rPr>
                <w:lang w:val="es"/>
              </w:rPr>
              <w:t>:</w:t>
            </w:r>
          </w:p>
        </w:tc>
        <w:tc>
          <w:tcPr>
            <w:tcW w:w="1798" w:type="dxa"/>
            <w:vAlign w:val="center"/>
          </w:tcPr>
          <w:p w14:paraId="3CF768D5" w14:textId="1662A1A7" w:rsidR="006F5365" w:rsidRDefault="00276331" w:rsidP="006F5365">
            <w:r>
              <w:rPr>
                <w:lang w:val="es"/>
              </w:rPr>
              <w:t>$</w:t>
            </w:r>
          </w:p>
        </w:tc>
        <w:tc>
          <w:tcPr>
            <w:tcW w:w="1708" w:type="dxa"/>
            <w:vAlign w:val="center"/>
          </w:tcPr>
          <w:p w14:paraId="7A7D79BC" w14:textId="27B41295" w:rsidR="006F5365" w:rsidRDefault="00276331" w:rsidP="006F5365">
            <w:r>
              <w:rPr>
                <w:lang w:val="es"/>
              </w:rPr>
              <w:t>$</w:t>
            </w:r>
          </w:p>
        </w:tc>
        <w:tc>
          <w:tcPr>
            <w:tcW w:w="1709" w:type="dxa"/>
            <w:vAlign w:val="center"/>
          </w:tcPr>
          <w:p w14:paraId="3AB410A4" w14:textId="00967A99" w:rsidR="006F5365" w:rsidRDefault="00276331" w:rsidP="006F5365">
            <w:r>
              <w:rPr>
                <w:lang w:val="es"/>
              </w:rPr>
              <w:t>$</w:t>
            </w:r>
          </w:p>
        </w:tc>
      </w:tr>
      <w:tr w:rsidR="00B157C4" w14:paraId="7BF85AB1" w14:textId="77777777" w:rsidTr="00C2127B">
        <w:trPr>
          <w:trHeight w:val="432"/>
        </w:trPr>
        <w:tc>
          <w:tcPr>
            <w:tcW w:w="4135" w:type="dxa"/>
            <w:vAlign w:val="center"/>
          </w:tcPr>
          <w:p w14:paraId="7CA108B6" w14:textId="69C1144C" w:rsidR="006F5365" w:rsidRPr="00276331" w:rsidRDefault="00276331" w:rsidP="00C2127B">
            <w:pPr>
              <w:rPr>
                <w:lang w:val="es-ES"/>
              </w:rPr>
            </w:pPr>
            <w:r>
              <w:rPr>
                <w:lang w:val="es"/>
              </w:rPr>
              <w:t>Aumento del canon del alquiler:</w:t>
            </w:r>
          </w:p>
        </w:tc>
        <w:tc>
          <w:tcPr>
            <w:tcW w:w="1798" w:type="dxa"/>
            <w:vAlign w:val="center"/>
          </w:tcPr>
          <w:p w14:paraId="48D83942" w14:textId="60E0484D" w:rsidR="006F5365" w:rsidRDefault="00276331" w:rsidP="006F5365">
            <w:r>
              <w:rPr>
                <w:lang w:val="es"/>
              </w:rPr>
              <w:t>$</w:t>
            </w:r>
          </w:p>
        </w:tc>
        <w:tc>
          <w:tcPr>
            <w:tcW w:w="1708" w:type="dxa"/>
            <w:vAlign w:val="center"/>
          </w:tcPr>
          <w:p w14:paraId="2A197EA8" w14:textId="4239A17D" w:rsidR="006F5365" w:rsidRDefault="00276331" w:rsidP="006F5365">
            <w:r>
              <w:rPr>
                <w:lang w:val="es"/>
              </w:rPr>
              <w:t>$</w:t>
            </w:r>
          </w:p>
        </w:tc>
        <w:tc>
          <w:tcPr>
            <w:tcW w:w="1709" w:type="dxa"/>
            <w:vAlign w:val="center"/>
          </w:tcPr>
          <w:p w14:paraId="2F1CB92A" w14:textId="27EA00EC" w:rsidR="006F5365" w:rsidRDefault="00276331" w:rsidP="006F5365">
            <w:r>
              <w:rPr>
                <w:lang w:val="es"/>
              </w:rPr>
              <w:t>$</w:t>
            </w:r>
          </w:p>
        </w:tc>
      </w:tr>
      <w:tr w:rsidR="00B157C4" w14:paraId="67ACEA1A" w14:textId="77777777" w:rsidTr="00C2127B">
        <w:trPr>
          <w:trHeight w:val="432"/>
        </w:trPr>
        <w:tc>
          <w:tcPr>
            <w:tcW w:w="4135" w:type="dxa"/>
            <w:vAlign w:val="center"/>
          </w:tcPr>
          <w:p w14:paraId="2441D6D4" w14:textId="49AA2D29" w:rsidR="006F5365" w:rsidRPr="00276331" w:rsidRDefault="00276331" w:rsidP="00C2127B">
            <w:pPr>
              <w:rPr>
                <w:lang w:val="es-ES"/>
              </w:rPr>
            </w:pPr>
            <w:r w:rsidRPr="00276331">
              <w:rPr>
                <w:lang w:val="es"/>
              </w:rPr>
              <w:t>Porcentaje del aumento*:</w:t>
            </w:r>
            <w:r w:rsidRPr="00276331">
              <w:rPr>
                <w:lang w:val="es"/>
              </w:rPr>
              <w:tab/>
            </w:r>
            <w:r w:rsidRPr="00276331">
              <w:rPr>
                <w:lang w:val="es"/>
              </w:rPr>
              <w:tab/>
            </w:r>
          </w:p>
          <w:p w14:paraId="01BC41B9" w14:textId="5211C70E" w:rsidR="006F5365" w:rsidRPr="00276331" w:rsidRDefault="00276331" w:rsidP="00C2127B">
            <w:pPr>
              <w:spacing w:line="360" w:lineRule="auto"/>
              <w:rPr>
                <w:sz w:val="16"/>
                <w:szCs w:val="16"/>
                <w:lang w:val="es-ES"/>
              </w:rPr>
            </w:pPr>
            <w:r w:rsidRPr="00276331">
              <w:rPr>
                <w:sz w:val="16"/>
                <w:szCs w:val="16"/>
                <w:lang w:val="es"/>
              </w:rPr>
              <w:t>(lo cual abarca cualquier monto acumulado previamente, que no deberá exceder el 10 %).</w:t>
            </w:r>
          </w:p>
        </w:tc>
        <w:tc>
          <w:tcPr>
            <w:tcW w:w="1798" w:type="dxa"/>
            <w:vAlign w:val="center"/>
          </w:tcPr>
          <w:p w14:paraId="2E320EC8" w14:textId="26873414" w:rsidR="006F5365" w:rsidRPr="00276331" w:rsidRDefault="00276331" w:rsidP="006F5365">
            <w:pPr>
              <w:jc w:val="right"/>
            </w:pPr>
            <w:r w:rsidRPr="00276331">
              <w:rPr>
                <w:lang w:val="es"/>
              </w:rPr>
              <w:t xml:space="preserve"> %</w:t>
            </w:r>
          </w:p>
        </w:tc>
        <w:tc>
          <w:tcPr>
            <w:tcW w:w="1708" w:type="dxa"/>
            <w:vAlign w:val="center"/>
          </w:tcPr>
          <w:p w14:paraId="516DC774" w14:textId="37F51D90" w:rsidR="006F5365" w:rsidRPr="00276331" w:rsidRDefault="00276331" w:rsidP="006F5365">
            <w:pPr>
              <w:jc w:val="right"/>
            </w:pPr>
            <w:r w:rsidRPr="00276331">
              <w:rPr>
                <w:lang w:val="es"/>
              </w:rPr>
              <w:t xml:space="preserve"> %</w:t>
            </w:r>
          </w:p>
        </w:tc>
        <w:tc>
          <w:tcPr>
            <w:tcW w:w="1709" w:type="dxa"/>
            <w:vAlign w:val="center"/>
          </w:tcPr>
          <w:p w14:paraId="7B8991D7" w14:textId="57322032" w:rsidR="006F5365" w:rsidRPr="00276331" w:rsidRDefault="00276331" w:rsidP="006F5365">
            <w:pPr>
              <w:jc w:val="right"/>
            </w:pPr>
            <w:r w:rsidRPr="00276331">
              <w:rPr>
                <w:lang w:val="es"/>
              </w:rPr>
              <w:t xml:space="preserve"> %</w:t>
            </w:r>
          </w:p>
        </w:tc>
      </w:tr>
      <w:tr w:rsidR="00B157C4" w14:paraId="3842A84E" w14:textId="77777777" w:rsidTr="00C2127B">
        <w:trPr>
          <w:trHeight w:val="432"/>
        </w:trPr>
        <w:tc>
          <w:tcPr>
            <w:tcW w:w="4135" w:type="dxa"/>
            <w:vAlign w:val="center"/>
          </w:tcPr>
          <w:p w14:paraId="6F9DD12B" w14:textId="0E179140" w:rsidR="006F5365" w:rsidRDefault="00276331" w:rsidP="00C2127B">
            <w:r>
              <w:rPr>
                <w:lang w:val="es"/>
              </w:rPr>
              <w:t>Recargo mensual autorizado**:</w:t>
            </w:r>
          </w:p>
        </w:tc>
        <w:tc>
          <w:tcPr>
            <w:tcW w:w="1798" w:type="dxa"/>
            <w:vAlign w:val="center"/>
          </w:tcPr>
          <w:p w14:paraId="146E43C7" w14:textId="2BE5B636" w:rsidR="006F5365" w:rsidRDefault="00276331" w:rsidP="006F5365">
            <w:r>
              <w:rPr>
                <w:lang w:val="es"/>
              </w:rPr>
              <w:t>$</w:t>
            </w:r>
          </w:p>
        </w:tc>
        <w:tc>
          <w:tcPr>
            <w:tcW w:w="1708" w:type="dxa"/>
            <w:vAlign w:val="center"/>
          </w:tcPr>
          <w:p w14:paraId="652AE529" w14:textId="517BFF65" w:rsidR="006F5365" w:rsidRDefault="00276331" w:rsidP="006F5365">
            <w:r>
              <w:rPr>
                <w:lang w:val="es"/>
              </w:rPr>
              <w:t>$</w:t>
            </w:r>
          </w:p>
        </w:tc>
        <w:tc>
          <w:tcPr>
            <w:tcW w:w="1709" w:type="dxa"/>
            <w:vAlign w:val="center"/>
          </w:tcPr>
          <w:p w14:paraId="39A634C1" w14:textId="390A07ED" w:rsidR="006F5365" w:rsidRDefault="00276331" w:rsidP="006F5365">
            <w:r>
              <w:rPr>
                <w:lang w:val="es"/>
              </w:rPr>
              <w:t>$</w:t>
            </w:r>
          </w:p>
        </w:tc>
      </w:tr>
      <w:tr w:rsidR="00B157C4" w14:paraId="153725D9" w14:textId="77777777" w:rsidTr="00C2127B">
        <w:trPr>
          <w:trHeight w:val="432"/>
        </w:trPr>
        <w:tc>
          <w:tcPr>
            <w:tcW w:w="4135" w:type="dxa"/>
            <w:vAlign w:val="center"/>
          </w:tcPr>
          <w:p w14:paraId="703F8A28" w14:textId="61AD9563" w:rsidR="006F5365" w:rsidRPr="00276331" w:rsidRDefault="00276331" w:rsidP="00C2127B">
            <w:pPr>
              <w:rPr>
                <w:lang w:val="es-ES"/>
              </w:rPr>
            </w:pPr>
            <w:r>
              <w:rPr>
                <w:lang w:val="es"/>
              </w:rPr>
              <w:t xml:space="preserve">Total del aumento mensual del canon de arrendamiento: </w:t>
            </w:r>
          </w:p>
        </w:tc>
        <w:tc>
          <w:tcPr>
            <w:tcW w:w="1798" w:type="dxa"/>
            <w:vAlign w:val="center"/>
          </w:tcPr>
          <w:p w14:paraId="50A407DB" w14:textId="268C1261" w:rsidR="006F5365" w:rsidRDefault="00276331" w:rsidP="006F5365">
            <w:r>
              <w:rPr>
                <w:lang w:val="es"/>
              </w:rPr>
              <w:t>$</w:t>
            </w:r>
          </w:p>
        </w:tc>
        <w:tc>
          <w:tcPr>
            <w:tcW w:w="1708" w:type="dxa"/>
            <w:vAlign w:val="center"/>
          </w:tcPr>
          <w:p w14:paraId="3FCE48FB" w14:textId="1D01969E" w:rsidR="006F5365" w:rsidRDefault="00276331" w:rsidP="006F5365">
            <w:r>
              <w:rPr>
                <w:lang w:val="es"/>
              </w:rPr>
              <w:t>$</w:t>
            </w:r>
          </w:p>
        </w:tc>
        <w:tc>
          <w:tcPr>
            <w:tcW w:w="1709" w:type="dxa"/>
            <w:vAlign w:val="center"/>
          </w:tcPr>
          <w:p w14:paraId="67D298A7" w14:textId="50DEE484" w:rsidR="006F5365" w:rsidRDefault="00276331" w:rsidP="006F5365">
            <w:r>
              <w:rPr>
                <w:lang w:val="es"/>
              </w:rPr>
              <w:t>$</w:t>
            </w:r>
          </w:p>
        </w:tc>
      </w:tr>
      <w:tr w:rsidR="00B157C4" w14:paraId="671A0C97" w14:textId="77777777" w:rsidTr="00C2127B">
        <w:trPr>
          <w:trHeight w:val="432"/>
        </w:trPr>
        <w:tc>
          <w:tcPr>
            <w:tcW w:w="4135" w:type="dxa"/>
            <w:vAlign w:val="center"/>
          </w:tcPr>
          <w:p w14:paraId="7FB3ADE0" w14:textId="71B2BAED" w:rsidR="006F5365" w:rsidRPr="00276331" w:rsidRDefault="00276331" w:rsidP="00C2127B">
            <w:pPr>
              <w:rPr>
                <w:lang w:val="es-ES"/>
              </w:rPr>
            </w:pPr>
            <w:r>
              <w:rPr>
                <w:lang w:val="es"/>
              </w:rPr>
              <w:t xml:space="preserve">Monto a pagar </w:t>
            </w:r>
            <w:r w:rsidRPr="008164F8">
              <w:rPr>
                <w:b/>
                <w:bCs/>
                <w:lang w:val="es"/>
              </w:rPr>
              <w:t>a partir de ahora</w:t>
            </w:r>
            <w:r>
              <w:rPr>
                <w:lang w:val="es"/>
              </w:rPr>
              <w:t xml:space="preserve">: </w:t>
            </w:r>
          </w:p>
        </w:tc>
        <w:tc>
          <w:tcPr>
            <w:tcW w:w="1798" w:type="dxa"/>
            <w:vAlign w:val="center"/>
          </w:tcPr>
          <w:p w14:paraId="2B22657C" w14:textId="66A9E821" w:rsidR="006F5365" w:rsidRDefault="00276331" w:rsidP="006F5365">
            <w:r>
              <w:rPr>
                <w:lang w:val="es"/>
              </w:rPr>
              <w:t>$</w:t>
            </w:r>
          </w:p>
        </w:tc>
        <w:tc>
          <w:tcPr>
            <w:tcW w:w="1708" w:type="dxa"/>
            <w:vAlign w:val="center"/>
          </w:tcPr>
          <w:p w14:paraId="619C0A4E" w14:textId="60FBE577" w:rsidR="006F5365" w:rsidRDefault="00276331" w:rsidP="006F5365">
            <w:r>
              <w:rPr>
                <w:lang w:val="es"/>
              </w:rPr>
              <w:t>$</w:t>
            </w:r>
          </w:p>
        </w:tc>
        <w:tc>
          <w:tcPr>
            <w:tcW w:w="1709" w:type="dxa"/>
            <w:vAlign w:val="center"/>
          </w:tcPr>
          <w:p w14:paraId="3A443E62" w14:textId="11F1787E" w:rsidR="006F5365" w:rsidRDefault="00276331" w:rsidP="006F5365">
            <w:r>
              <w:rPr>
                <w:lang w:val="es"/>
              </w:rPr>
              <w:t>$</w:t>
            </w:r>
          </w:p>
        </w:tc>
      </w:tr>
    </w:tbl>
    <w:p w14:paraId="077B1293" w14:textId="77777777" w:rsidR="00E6104B" w:rsidRDefault="00E6104B" w:rsidP="00AF6762">
      <w:pPr>
        <w:spacing w:after="0" w:line="240" w:lineRule="auto"/>
      </w:pPr>
    </w:p>
    <w:p w14:paraId="125E92D2" w14:textId="51ECB901" w:rsidR="00FD59F8" w:rsidRPr="00276331" w:rsidRDefault="00276331" w:rsidP="00FD59F8">
      <w:pPr>
        <w:spacing w:after="0"/>
        <w:rPr>
          <w:lang w:val="es-ES"/>
        </w:rPr>
      </w:pPr>
      <w:r>
        <w:rPr>
          <w:lang w:val="es"/>
        </w:rPr>
        <w:t>Las leyes del condado de Montgomery exigen que los arrendadores (a menos que de lo contrario exista una razón de peso) deben ofrecerles a todos aquellos inquilinos que vayan a formalizar un contrato de arrendamiento por primera vez que el periodo de este tenga una vigencia de dos (2) años, al igual que al momento en el que corresponda renovarlo. Antes de celebrar el contrato de arrendamiento, el arrendatario acepta por medio de la presente una de las siguientes opciones (coloque sus iniciales y la fecha):</w:t>
      </w:r>
    </w:p>
    <w:p w14:paraId="324971B6" w14:textId="77777777" w:rsidR="00D77BDF" w:rsidRPr="00276331" w:rsidRDefault="00D77BDF" w:rsidP="00FD59F8">
      <w:pPr>
        <w:spacing w:after="0"/>
        <w:rPr>
          <w:lang w:val="es-ES"/>
        </w:rPr>
      </w:pPr>
    </w:p>
    <w:p w14:paraId="6DC96374" w14:textId="74294D98" w:rsidR="00D77BDF" w:rsidRPr="00276331" w:rsidRDefault="00276331" w:rsidP="00FD59F8">
      <w:pPr>
        <w:spacing w:after="0"/>
        <w:rPr>
          <w:lang w:val="es-ES"/>
        </w:rPr>
      </w:pPr>
      <w:r>
        <w:rPr>
          <w:lang w:val="es"/>
        </w:rPr>
        <w:t>______      ___/___/____</w:t>
      </w:r>
      <w:r>
        <w:rPr>
          <w:lang w:val="es"/>
        </w:rPr>
        <w:tab/>
        <w:t>El arrendador me ofreció y acepté un contrato de arrendamiento por dos años.</w:t>
      </w:r>
    </w:p>
    <w:p w14:paraId="76838774" w14:textId="77777777" w:rsidR="00D77BDF" w:rsidRPr="00276331" w:rsidRDefault="00D77BDF" w:rsidP="00FD59F8">
      <w:pPr>
        <w:spacing w:after="0"/>
        <w:rPr>
          <w:lang w:val="es-ES"/>
        </w:rPr>
      </w:pPr>
    </w:p>
    <w:p w14:paraId="55C57B90" w14:textId="5279E172" w:rsidR="00D77BDF" w:rsidRPr="00276331" w:rsidRDefault="00276331" w:rsidP="00FD59F8">
      <w:pPr>
        <w:spacing w:after="0"/>
        <w:rPr>
          <w:lang w:val="es-ES"/>
        </w:rPr>
      </w:pPr>
      <w:r>
        <w:rPr>
          <w:lang w:val="es"/>
        </w:rPr>
        <w:t>______      ___/___/____</w:t>
      </w:r>
      <w:r>
        <w:rPr>
          <w:lang w:val="es"/>
        </w:rPr>
        <w:tab/>
        <w:t>El arrendador me ofreció un contrato de arrendamiento por dos años, pero lo rechacé.</w:t>
      </w:r>
    </w:p>
    <w:p w14:paraId="62FF1738" w14:textId="77777777" w:rsidR="00263C52" w:rsidRPr="00276331" w:rsidRDefault="00263C52" w:rsidP="00FD59F8">
      <w:pPr>
        <w:spacing w:after="0"/>
        <w:rPr>
          <w:lang w:val="es-ES"/>
        </w:rPr>
      </w:pPr>
    </w:p>
    <w:p w14:paraId="3B3D55A3" w14:textId="18E3457B" w:rsidR="00D77BDF" w:rsidRPr="00276331" w:rsidRDefault="00276331" w:rsidP="00F26939">
      <w:pPr>
        <w:tabs>
          <w:tab w:val="left" w:pos="2880"/>
        </w:tabs>
        <w:spacing w:after="0"/>
        <w:ind w:left="2880" w:hanging="2880"/>
        <w:rPr>
          <w:lang w:val="es-ES"/>
        </w:rPr>
      </w:pPr>
      <w:r>
        <w:rPr>
          <w:lang w:val="es"/>
        </w:rPr>
        <w:t>______      ___/___/____</w:t>
      </w:r>
      <w:r>
        <w:rPr>
          <w:lang w:val="es"/>
        </w:rPr>
        <w:tab/>
        <w:t xml:space="preserve">El arrendador me entregó la copia de una carta explicativa en la que asevera que existe una razón de peso por la cual no puede ofrecerme un </w:t>
      </w:r>
      <w:r>
        <w:rPr>
          <w:lang w:val="es"/>
        </w:rPr>
        <w:lastRenderedPageBreak/>
        <w:t xml:space="preserve">contrato de arrendamiento de dos años al momento en el que este se formalice por primera vez y me informó sobre mi derecho a impugnar dicha carta a través del Departamento de Vivienda y Asuntos Comunitarios, 1401 Rockville Pike, </w:t>
      </w:r>
      <w:r w:rsidRPr="00D77BDF">
        <w:rPr>
          <w:vertAlign w:val="superscript"/>
          <w:lang w:val="es"/>
        </w:rPr>
        <w:t>4º</w:t>
      </w:r>
      <w:r>
        <w:rPr>
          <w:lang w:val="es"/>
        </w:rPr>
        <w:t xml:space="preserve"> piso, Rockville, MD 20850, (240) 777-0311.</w:t>
      </w:r>
    </w:p>
    <w:p w14:paraId="71479EC6" w14:textId="77777777" w:rsidR="00F129E4" w:rsidRPr="00276331" w:rsidRDefault="00F129E4" w:rsidP="00F26939">
      <w:pPr>
        <w:tabs>
          <w:tab w:val="left" w:pos="2880"/>
        </w:tabs>
        <w:spacing w:after="0"/>
        <w:ind w:left="2880" w:hanging="2880"/>
        <w:rPr>
          <w:lang w:val="es-ES"/>
        </w:rPr>
      </w:pPr>
    </w:p>
    <w:p w14:paraId="4BE7E0D4" w14:textId="77777777" w:rsidR="00192729" w:rsidRPr="00276331" w:rsidRDefault="00192729" w:rsidP="00F26939">
      <w:pPr>
        <w:tabs>
          <w:tab w:val="left" w:pos="2880"/>
        </w:tabs>
        <w:spacing w:after="0"/>
        <w:ind w:left="2880" w:hanging="2880"/>
        <w:rPr>
          <w:lang w:val="es-ES"/>
        </w:rPr>
      </w:pPr>
    </w:p>
    <w:p w14:paraId="476012F7" w14:textId="77777777" w:rsidR="00192729" w:rsidRPr="00276331" w:rsidRDefault="00276331" w:rsidP="00192729">
      <w:pPr>
        <w:spacing w:after="0" w:line="240" w:lineRule="auto"/>
        <w:rPr>
          <w:lang w:val="es-ES"/>
        </w:rPr>
      </w:pPr>
      <w:r>
        <w:rPr>
          <w:lang w:val="es"/>
        </w:rPr>
        <w:t>Su canon de arrendamiento no puede aumentarse más de una vez al año, ya que solo se permite aumentarlo al momento de renovar o formalizar un contrato de arrendamiento por primera vez. No está permitido realizar ningún tipo de aumento en la mitad del contrato En los contratos de arrendamiento a varios años, el canon de arrendamiento deberá permanecer fijo durante toda la vigencia del contrato (por ejemplo, en un contrato de dos años no se aumentará el precio en el segundo año). Aquellos aumentos que no se hayan realizado en contratos de arrendamiento a varios años pueden sumársele a cualquier aumento que se haga en el futuro. En los contratos de alquiler mes a mes, el canon solo puede aumentarse una vez al año.</w:t>
      </w:r>
    </w:p>
    <w:p w14:paraId="6F8F381C" w14:textId="4BC45A4F" w:rsidR="00F129E4" w:rsidRPr="00276331" w:rsidRDefault="00F129E4" w:rsidP="00F26939">
      <w:pPr>
        <w:tabs>
          <w:tab w:val="left" w:pos="2880"/>
        </w:tabs>
        <w:spacing w:after="0"/>
        <w:ind w:left="2880" w:hanging="2880"/>
        <w:rPr>
          <w:lang w:val="es-ES"/>
        </w:rPr>
      </w:pPr>
    </w:p>
    <w:tbl>
      <w:tblPr>
        <w:tblStyle w:val="TableGrid"/>
        <w:tblW w:w="9360"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1890"/>
        <w:gridCol w:w="1080"/>
        <w:gridCol w:w="1800"/>
        <w:gridCol w:w="2610"/>
      </w:tblGrid>
      <w:tr w:rsidR="00B157C4" w14:paraId="78109F3A" w14:textId="77777777">
        <w:trPr>
          <w:trHeight w:val="300"/>
        </w:trPr>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6699F1" w14:textId="77777777" w:rsidR="001F7574" w:rsidRPr="00276331" w:rsidRDefault="001F7574">
            <w:pPr>
              <w:spacing w:after="160" w:line="257" w:lineRule="auto"/>
              <w:rPr>
                <w:rFonts w:eastAsia="Aptos" w:cstheme="minorHAnsi"/>
                <w:b/>
                <w:bCs/>
                <w:lang w:val="es-ES"/>
              </w:rPr>
            </w:pP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2CA079" w14:textId="77777777" w:rsidR="001F7574" w:rsidRPr="00391E4F" w:rsidRDefault="00276331">
            <w:pPr>
              <w:rPr>
                <w:rFonts w:eastAsia="Aptos" w:cstheme="minorHAnsi"/>
              </w:rPr>
            </w:pPr>
            <w:r w:rsidRPr="00391E4F">
              <w:rPr>
                <w:rFonts w:eastAsia="Aptos" w:cstheme="minorHAnsi"/>
                <w:b/>
                <w:bCs/>
                <w:lang w:val="es"/>
              </w:rPr>
              <w:t>¿Cómo se calcula?</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150758" w14:textId="77777777" w:rsidR="001F7574" w:rsidRPr="00391E4F" w:rsidRDefault="00276331">
            <w:pPr>
              <w:spacing w:after="160" w:line="257" w:lineRule="auto"/>
              <w:rPr>
                <w:rFonts w:eastAsia="Aptos" w:cstheme="minorHAnsi"/>
              </w:rPr>
            </w:pPr>
            <w:r w:rsidRPr="00391E4F">
              <w:rPr>
                <w:rFonts w:eastAsia="Aptos" w:cstheme="minorHAnsi"/>
                <w:b/>
                <w:bCs/>
                <w:lang w:val="es"/>
              </w:rPr>
              <w:t>Valor actualizado al 2025</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C77616" w14:textId="77777777" w:rsidR="001F7574" w:rsidRPr="00276331" w:rsidRDefault="00276331">
            <w:pPr>
              <w:spacing w:after="160" w:line="257" w:lineRule="auto"/>
              <w:rPr>
                <w:rFonts w:eastAsia="Aptos" w:cstheme="minorHAnsi"/>
                <w:lang w:val="es-ES"/>
              </w:rPr>
            </w:pPr>
            <w:r w:rsidRPr="00391E4F">
              <w:rPr>
                <w:rFonts w:eastAsia="Aptos" w:cstheme="minorHAnsi"/>
                <w:b/>
                <w:bCs/>
                <w:lang w:val="es"/>
              </w:rPr>
              <w:t>Fecha de entrada en vigor</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0A0FE6" w14:textId="77777777" w:rsidR="001F7574" w:rsidRPr="00391E4F" w:rsidRDefault="00276331">
            <w:pPr>
              <w:spacing w:after="160" w:line="257" w:lineRule="auto"/>
              <w:rPr>
                <w:rFonts w:eastAsia="Aptos" w:cstheme="minorHAnsi"/>
              </w:rPr>
            </w:pPr>
            <w:r w:rsidRPr="00391E4F">
              <w:rPr>
                <w:rFonts w:eastAsia="Aptos" w:cstheme="minorHAnsi"/>
                <w:b/>
                <w:bCs/>
                <w:lang w:val="es"/>
              </w:rPr>
              <w:t>Viviendas afectadas</w:t>
            </w:r>
          </w:p>
        </w:tc>
      </w:tr>
      <w:tr w:rsidR="00B157C4" w:rsidRPr="00276331" w14:paraId="1E91881C" w14:textId="77777777">
        <w:trPr>
          <w:trHeight w:val="300"/>
        </w:trPr>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B96883" w14:textId="77777777" w:rsidR="001F7574" w:rsidRPr="00276331" w:rsidRDefault="00276331">
            <w:pPr>
              <w:rPr>
                <w:rFonts w:eastAsia="Aptos" w:cstheme="minorHAnsi"/>
                <w:lang w:val="es-ES"/>
              </w:rPr>
            </w:pPr>
            <w:r w:rsidRPr="00391E4F">
              <w:rPr>
                <w:rFonts w:eastAsia="Aptos" w:cstheme="minorHAnsi"/>
                <w:lang w:val="es"/>
              </w:rPr>
              <w:t>Aumento anual permitido conforme a la reglamentación de estabilización del canon de arrendamiento</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EB278E" w14:textId="77777777" w:rsidR="001F7574" w:rsidRPr="00276331" w:rsidRDefault="00276331">
            <w:pPr>
              <w:rPr>
                <w:rFonts w:eastAsia="Aptos" w:cstheme="minorHAnsi"/>
                <w:lang w:val="es-ES"/>
              </w:rPr>
            </w:pPr>
            <w:r w:rsidRPr="00391E4F">
              <w:rPr>
                <w:rFonts w:eastAsia="Aptos" w:cstheme="minorHAnsi"/>
                <w:lang w:val="es"/>
              </w:rPr>
              <w:t xml:space="preserve">Índice de precios para consumidores urbanos (CPI-U, por sus siglas en inglés) más un 3 %, hasta alcanzar el 6 %. </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5954BD" w14:textId="56A6A3E7" w:rsidR="001F7574" w:rsidRPr="00391E4F" w:rsidRDefault="00276331">
            <w:pPr>
              <w:rPr>
                <w:rFonts w:eastAsia="Aptos" w:cstheme="minorHAnsi"/>
              </w:rPr>
            </w:pPr>
            <w:r w:rsidRPr="00391E4F">
              <w:rPr>
                <w:rFonts w:eastAsia="Aptos" w:cstheme="minorHAnsi"/>
                <w:lang w:val="es"/>
              </w:rPr>
              <w:t>__</w:t>
            </w:r>
            <w:r w:rsidR="002F57DB" w:rsidRPr="002F57DB">
              <w:rPr>
                <w:rFonts w:eastAsia="Aptos" w:cstheme="minorHAnsi"/>
                <w:u w:val="single"/>
                <w:lang w:val="es"/>
              </w:rPr>
              <w:t>5.7</w:t>
            </w:r>
            <w:r w:rsidRPr="00391E4F">
              <w:rPr>
                <w:rFonts w:eastAsia="Aptos" w:cstheme="minorHAnsi"/>
                <w:lang w:val="es"/>
              </w:rPr>
              <w:t>_%</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14D4EB" w14:textId="3AC28BF3" w:rsidR="001F7574" w:rsidRPr="00391E4F" w:rsidRDefault="00276331">
            <w:pPr>
              <w:rPr>
                <w:rFonts w:eastAsia="Aptos" w:cstheme="minorHAnsi"/>
              </w:rPr>
            </w:pPr>
            <w:r w:rsidRPr="00391E4F">
              <w:rPr>
                <w:rFonts w:eastAsia="Aptos" w:cstheme="minorHAnsi"/>
                <w:lang w:val="es"/>
              </w:rPr>
              <w:t>1 de julio de 202</w:t>
            </w:r>
            <w:r w:rsidR="002F57DB">
              <w:rPr>
                <w:rFonts w:eastAsia="Aptos" w:cstheme="minorHAnsi"/>
                <w:lang w:val="es"/>
              </w:rPr>
              <w:t>5</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38F165" w14:textId="77777777" w:rsidR="001F7574" w:rsidRPr="00276331" w:rsidRDefault="00276331">
            <w:pPr>
              <w:rPr>
                <w:rFonts w:eastAsia="Aptos" w:cstheme="minorHAnsi"/>
                <w:lang w:val="es-ES"/>
              </w:rPr>
            </w:pPr>
            <w:r w:rsidRPr="00391E4F">
              <w:rPr>
                <w:rFonts w:eastAsia="Aptos" w:cstheme="minorHAnsi"/>
                <w:lang w:val="es"/>
              </w:rPr>
              <w:t>Todas aquellas viviendas sujetas a la estabilización del canon de alquiler.</w:t>
            </w:r>
          </w:p>
        </w:tc>
      </w:tr>
      <w:tr w:rsidR="00B157C4" w:rsidRPr="00276331" w14:paraId="18E5B398" w14:textId="77777777">
        <w:trPr>
          <w:trHeight w:val="300"/>
        </w:trPr>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1F5A89" w14:textId="77777777" w:rsidR="001F7574" w:rsidRPr="00276331" w:rsidRDefault="00276331">
            <w:pPr>
              <w:rPr>
                <w:rFonts w:eastAsia="Aptos" w:cstheme="minorHAnsi"/>
                <w:lang w:val="es-ES"/>
              </w:rPr>
            </w:pPr>
            <w:r w:rsidRPr="00391E4F">
              <w:rPr>
                <w:rFonts w:eastAsia="Aptos" w:cstheme="minorHAnsi"/>
                <w:lang w:val="es"/>
              </w:rPr>
              <w:t>Norma para el aumento voluntario del canon de alquiler (VRG, por sus siglas en inglés)</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E114BB" w14:textId="77777777" w:rsidR="001F7574" w:rsidRPr="00276331" w:rsidRDefault="00276331">
            <w:pPr>
              <w:rPr>
                <w:rFonts w:eastAsia="Aptos" w:cstheme="minorHAnsi"/>
                <w:lang w:val="es-ES"/>
              </w:rPr>
            </w:pPr>
            <w:r w:rsidRPr="00391E4F">
              <w:rPr>
                <w:rFonts w:eastAsia="Aptos" w:cstheme="minorHAnsi"/>
                <w:lang w:val="es"/>
              </w:rPr>
              <w:t xml:space="preserve">Variación del componente de arrendamiento en base al índice de precios para consumidores urbanos a nivel regional </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E53768" w14:textId="0343B415" w:rsidR="001F7574" w:rsidRPr="00391E4F" w:rsidRDefault="00276331">
            <w:pPr>
              <w:rPr>
                <w:rFonts w:eastAsia="Aptos" w:cstheme="minorHAnsi"/>
              </w:rPr>
            </w:pPr>
            <w:r w:rsidRPr="00391E4F">
              <w:rPr>
                <w:rFonts w:eastAsia="Aptos" w:cstheme="minorHAnsi"/>
                <w:lang w:val="es"/>
              </w:rPr>
              <w:t>_</w:t>
            </w:r>
            <w:r w:rsidR="002F57DB" w:rsidRPr="002F57DB">
              <w:rPr>
                <w:rFonts w:eastAsia="Aptos" w:cstheme="minorHAnsi"/>
                <w:u w:val="single"/>
                <w:lang w:val="es"/>
              </w:rPr>
              <w:t>3.3</w:t>
            </w:r>
            <w:r w:rsidRPr="00391E4F">
              <w:rPr>
                <w:rFonts w:eastAsia="Aptos" w:cstheme="minorHAnsi"/>
                <w:lang w:val="es"/>
              </w:rPr>
              <w:t>__%</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8B52B8" w14:textId="47F739EF" w:rsidR="001F7574" w:rsidRPr="00391E4F" w:rsidRDefault="00276331">
            <w:pPr>
              <w:rPr>
                <w:rFonts w:eastAsia="Aptos" w:cstheme="minorHAnsi"/>
              </w:rPr>
            </w:pPr>
            <w:r w:rsidRPr="00391E4F">
              <w:rPr>
                <w:rFonts w:eastAsia="Aptos" w:cstheme="minorHAnsi"/>
                <w:lang w:val="es"/>
              </w:rPr>
              <w:t>1 de marzo de 202</w:t>
            </w:r>
            <w:r w:rsidR="002F57DB">
              <w:rPr>
                <w:rFonts w:eastAsia="Aptos" w:cstheme="minorHAnsi"/>
                <w:lang w:val="es"/>
              </w:rPr>
              <w:t>5</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F130B1" w14:textId="77777777" w:rsidR="001F7574" w:rsidRPr="00276331" w:rsidRDefault="00276331">
            <w:pPr>
              <w:rPr>
                <w:rFonts w:eastAsia="Aptos" w:cstheme="minorHAnsi"/>
                <w:lang w:val="es-ES"/>
              </w:rPr>
            </w:pPr>
            <w:r w:rsidRPr="00391E4F">
              <w:rPr>
                <w:rFonts w:eastAsia="Aptos" w:cstheme="minorHAnsi"/>
                <w:lang w:val="es"/>
              </w:rPr>
              <w:t>Se exhorta encarecidamente, pero no es obligatorio, limitar los aumentos del canon de arrendamiento de todas aquellas viviendas de alquiler que se encuentren dentro del condado, de conformidad con la VRG.</w:t>
            </w:r>
          </w:p>
        </w:tc>
      </w:tr>
    </w:tbl>
    <w:p w14:paraId="7064ADA6" w14:textId="77777777" w:rsidR="001F7574" w:rsidRPr="00276331" w:rsidRDefault="001F7574" w:rsidP="00F26939">
      <w:pPr>
        <w:tabs>
          <w:tab w:val="left" w:pos="2880"/>
        </w:tabs>
        <w:spacing w:after="0"/>
        <w:ind w:left="2880" w:hanging="2880"/>
        <w:rPr>
          <w:lang w:val="es-ES"/>
        </w:rPr>
      </w:pPr>
    </w:p>
    <w:p w14:paraId="681EF3E8" w14:textId="381AD3DA" w:rsidR="007D52C8" w:rsidRPr="00276331" w:rsidRDefault="00276331" w:rsidP="00C32F8C">
      <w:pPr>
        <w:spacing w:after="0"/>
        <w:rPr>
          <w:b/>
          <w:bCs/>
          <w:lang w:val="es-ES"/>
        </w:rPr>
      </w:pPr>
      <w:r w:rsidRPr="00276331">
        <w:rPr>
          <w:b/>
          <w:bCs/>
          <w:lang w:val="es"/>
        </w:rPr>
        <w:t>*</w:t>
      </w:r>
      <w:r w:rsidRPr="00276331">
        <w:rPr>
          <w:lang w:val="es"/>
        </w:rPr>
        <w:t xml:space="preserve"> Monto acumulado: es el monto en dólares del aumento anual permitido del canon o precio de alquiler que decida utilizar o no el arrendador para aumentar el precio de alquiler de una vivienda regulada. Conforme a la ley de estabilización del canon de arrendamiento, el arrendador puede aumentar el canon de arrendamiento según el monto anual permitido más cualquier monto acumulado; no obstante, el aumento total no podrá exceder el 10 % del monto básico del canon de arrendamiento.</w:t>
      </w:r>
    </w:p>
    <w:p w14:paraId="6733100E" w14:textId="77777777" w:rsidR="007D52C8" w:rsidRPr="00276331" w:rsidRDefault="007D52C8" w:rsidP="00C32F8C">
      <w:pPr>
        <w:spacing w:after="0"/>
        <w:rPr>
          <w:b/>
          <w:bCs/>
          <w:lang w:val="es-ES"/>
        </w:rPr>
      </w:pPr>
    </w:p>
    <w:p w14:paraId="3758C7E7" w14:textId="023C46C5" w:rsidR="00C32F8C" w:rsidRPr="00276331" w:rsidRDefault="00276331" w:rsidP="00C32F8C">
      <w:pPr>
        <w:spacing w:after="0"/>
        <w:rPr>
          <w:lang w:val="es-ES"/>
        </w:rPr>
      </w:pPr>
      <w:r w:rsidRPr="00F129E4">
        <w:rPr>
          <w:b/>
          <w:bCs/>
          <w:lang w:val="es"/>
        </w:rPr>
        <w:t>**</w:t>
      </w:r>
      <w:r>
        <w:rPr>
          <w:lang w:val="es"/>
        </w:rPr>
        <w:t xml:space="preserve"> Los arrendadores pueden presentar una petición de ajuste del canon de arrendamiento tras la realización de mejoras estructurales para recuperar el costo de las mejoras que se le hayan realizado al inmueble. Solo después de que el DHCA apruebe la petición, los arrendadores podrán sumarle un </w:t>
      </w:r>
      <w:r>
        <w:rPr>
          <w:lang w:val="es"/>
        </w:rPr>
        <w:lastRenderedPageBreak/>
        <w:t>recargo al aumento anual del canon de arrendamiento. Está permitido agregarle los siguientes recargos a su canon de alquiler:</w:t>
      </w:r>
    </w:p>
    <w:p w14:paraId="63F9C664" w14:textId="77777777" w:rsidR="00C32F8C" w:rsidRPr="00276331" w:rsidRDefault="00C32F8C" w:rsidP="00C32F8C">
      <w:pPr>
        <w:spacing w:after="0"/>
        <w:rPr>
          <w:lang w:val="es-ES"/>
        </w:rPr>
      </w:pPr>
    </w:p>
    <w:tbl>
      <w:tblPr>
        <w:tblStyle w:val="TableGrid"/>
        <w:tblW w:w="0" w:type="auto"/>
        <w:jc w:val="center"/>
        <w:tblLook w:val="04A0" w:firstRow="1" w:lastRow="0" w:firstColumn="1" w:lastColumn="0" w:noHBand="0" w:noVBand="1"/>
      </w:tblPr>
      <w:tblGrid>
        <w:gridCol w:w="1920"/>
        <w:gridCol w:w="1832"/>
        <w:gridCol w:w="1925"/>
        <w:gridCol w:w="1708"/>
        <w:gridCol w:w="1708"/>
      </w:tblGrid>
      <w:tr w:rsidR="00B157C4" w14:paraId="2EAEE30E" w14:textId="24504E05">
        <w:trPr>
          <w:jc w:val="center"/>
        </w:trPr>
        <w:tc>
          <w:tcPr>
            <w:tcW w:w="1920" w:type="dxa"/>
          </w:tcPr>
          <w:p w14:paraId="003CC7D8" w14:textId="77777777" w:rsidR="00DC521E" w:rsidRDefault="00276331" w:rsidP="002C7573">
            <w:pPr>
              <w:jc w:val="center"/>
            </w:pPr>
            <w:r>
              <w:rPr>
                <w:lang w:val="es"/>
              </w:rPr>
              <w:t>Monto</w:t>
            </w:r>
          </w:p>
        </w:tc>
        <w:tc>
          <w:tcPr>
            <w:tcW w:w="1832" w:type="dxa"/>
          </w:tcPr>
          <w:p w14:paraId="36CB50F5" w14:textId="77777777" w:rsidR="00DC521E" w:rsidRDefault="00276331" w:rsidP="002C7573">
            <w:pPr>
              <w:jc w:val="center"/>
            </w:pPr>
            <w:r>
              <w:rPr>
                <w:lang w:val="es"/>
              </w:rPr>
              <w:t>Tipo</w:t>
            </w:r>
          </w:p>
        </w:tc>
        <w:tc>
          <w:tcPr>
            <w:tcW w:w="1925" w:type="dxa"/>
          </w:tcPr>
          <w:p w14:paraId="30ED9648" w14:textId="77777777" w:rsidR="00DC521E" w:rsidRDefault="00276331" w:rsidP="002C7573">
            <w:pPr>
              <w:jc w:val="center"/>
            </w:pPr>
            <w:r>
              <w:rPr>
                <w:lang w:val="es"/>
              </w:rPr>
              <w:t>Número de caso</w:t>
            </w:r>
          </w:p>
        </w:tc>
        <w:tc>
          <w:tcPr>
            <w:tcW w:w="1708" w:type="dxa"/>
          </w:tcPr>
          <w:p w14:paraId="25AB10C4" w14:textId="77777777" w:rsidR="00DC521E" w:rsidRPr="00276331" w:rsidRDefault="00276331" w:rsidP="002C7573">
            <w:pPr>
              <w:jc w:val="center"/>
              <w:rPr>
                <w:lang w:val="es-ES"/>
              </w:rPr>
            </w:pPr>
            <w:r>
              <w:rPr>
                <w:lang w:val="es"/>
              </w:rPr>
              <w:t>Fecha en que se aprobó</w:t>
            </w:r>
          </w:p>
        </w:tc>
        <w:tc>
          <w:tcPr>
            <w:tcW w:w="1708" w:type="dxa"/>
          </w:tcPr>
          <w:p w14:paraId="37CDD6DB" w14:textId="4C5579CF" w:rsidR="00DC521E" w:rsidRDefault="00276331" w:rsidP="002C7573">
            <w:pPr>
              <w:jc w:val="center"/>
            </w:pPr>
            <w:r>
              <w:rPr>
                <w:lang w:val="es"/>
              </w:rPr>
              <w:t>Periodo de duración</w:t>
            </w:r>
          </w:p>
        </w:tc>
      </w:tr>
      <w:tr w:rsidR="00B157C4" w14:paraId="2DFEE6A0" w14:textId="743A76EA" w:rsidTr="00DC521E">
        <w:trPr>
          <w:trHeight w:val="432"/>
          <w:jc w:val="center"/>
        </w:trPr>
        <w:tc>
          <w:tcPr>
            <w:tcW w:w="1920" w:type="dxa"/>
            <w:vAlign w:val="center"/>
          </w:tcPr>
          <w:p w14:paraId="06495E3D" w14:textId="77777777" w:rsidR="00DC521E" w:rsidRDefault="00276331" w:rsidP="002C7573">
            <w:r>
              <w:rPr>
                <w:lang w:val="es"/>
              </w:rPr>
              <w:t>$</w:t>
            </w:r>
          </w:p>
        </w:tc>
        <w:tc>
          <w:tcPr>
            <w:tcW w:w="1832" w:type="dxa"/>
            <w:vAlign w:val="center"/>
          </w:tcPr>
          <w:p w14:paraId="47B10EF2" w14:textId="77777777" w:rsidR="00DC521E" w:rsidRDefault="00DC521E" w:rsidP="002C7573"/>
        </w:tc>
        <w:tc>
          <w:tcPr>
            <w:tcW w:w="1925" w:type="dxa"/>
            <w:vAlign w:val="center"/>
          </w:tcPr>
          <w:p w14:paraId="6E972A03" w14:textId="77777777" w:rsidR="00DC521E" w:rsidRDefault="00DC521E" w:rsidP="002C7573"/>
        </w:tc>
        <w:tc>
          <w:tcPr>
            <w:tcW w:w="1708" w:type="dxa"/>
            <w:vAlign w:val="center"/>
          </w:tcPr>
          <w:p w14:paraId="38339599" w14:textId="77777777" w:rsidR="00DC521E" w:rsidRDefault="00DC521E" w:rsidP="002C7573"/>
        </w:tc>
        <w:tc>
          <w:tcPr>
            <w:tcW w:w="1708" w:type="dxa"/>
            <w:vAlign w:val="center"/>
          </w:tcPr>
          <w:p w14:paraId="01F0D776" w14:textId="273DC312" w:rsidR="00DC521E" w:rsidRDefault="00276331" w:rsidP="00DC521E">
            <w:pPr>
              <w:jc w:val="right"/>
            </w:pPr>
            <w:r>
              <w:rPr>
                <w:lang w:val="es"/>
              </w:rPr>
              <w:t>meses</w:t>
            </w:r>
          </w:p>
        </w:tc>
      </w:tr>
      <w:tr w:rsidR="00B157C4" w14:paraId="40DA2B3C" w14:textId="1353B22A" w:rsidTr="00DC521E">
        <w:trPr>
          <w:trHeight w:val="432"/>
          <w:jc w:val="center"/>
        </w:trPr>
        <w:tc>
          <w:tcPr>
            <w:tcW w:w="1920" w:type="dxa"/>
            <w:vAlign w:val="center"/>
          </w:tcPr>
          <w:p w14:paraId="26E24C03" w14:textId="77777777" w:rsidR="00DC521E" w:rsidRDefault="00276331" w:rsidP="00DC521E">
            <w:r>
              <w:rPr>
                <w:lang w:val="es"/>
              </w:rPr>
              <w:t>$</w:t>
            </w:r>
          </w:p>
        </w:tc>
        <w:tc>
          <w:tcPr>
            <w:tcW w:w="1832" w:type="dxa"/>
            <w:vAlign w:val="center"/>
          </w:tcPr>
          <w:p w14:paraId="528AD84B" w14:textId="77777777" w:rsidR="00DC521E" w:rsidRDefault="00DC521E" w:rsidP="00DC521E"/>
        </w:tc>
        <w:tc>
          <w:tcPr>
            <w:tcW w:w="1925" w:type="dxa"/>
            <w:vAlign w:val="center"/>
          </w:tcPr>
          <w:p w14:paraId="3398A0D8" w14:textId="77777777" w:rsidR="00DC521E" w:rsidRDefault="00DC521E" w:rsidP="00DC521E"/>
        </w:tc>
        <w:tc>
          <w:tcPr>
            <w:tcW w:w="1708" w:type="dxa"/>
            <w:vAlign w:val="center"/>
          </w:tcPr>
          <w:p w14:paraId="015F5205" w14:textId="77777777" w:rsidR="00DC521E" w:rsidRDefault="00DC521E" w:rsidP="00DC521E"/>
        </w:tc>
        <w:tc>
          <w:tcPr>
            <w:tcW w:w="1708" w:type="dxa"/>
            <w:vAlign w:val="center"/>
          </w:tcPr>
          <w:p w14:paraId="0CE6BC85" w14:textId="166C969B" w:rsidR="00DC521E" w:rsidRDefault="00276331" w:rsidP="00DC521E">
            <w:pPr>
              <w:jc w:val="right"/>
            </w:pPr>
            <w:r>
              <w:rPr>
                <w:lang w:val="es"/>
              </w:rPr>
              <w:t>meses</w:t>
            </w:r>
          </w:p>
        </w:tc>
      </w:tr>
      <w:tr w:rsidR="00B157C4" w14:paraId="30BABA03" w14:textId="14281CCE" w:rsidTr="00DC521E">
        <w:trPr>
          <w:trHeight w:val="432"/>
          <w:jc w:val="center"/>
        </w:trPr>
        <w:tc>
          <w:tcPr>
            <w:tcW w:w="1920" w:type="dxa"/>
            <w:vAlign w:val="center"/>
          </w:tcPr>
          <w:p w14:paraId="0CB97717" w14:textId="77777777" w:rsidR="00DC521E" w:rsidRDefault="00276331" w:rsidP="00DC521E">
            <w:r>
              <w:rPr>
                <w:lang w:val="es"/>
              </w:rPr>
              <w:t>$</w:t>
            </w:r>
          </w:p>
        </w:tc>
        <w:tc>
          <w:tcPr>
            <w:tcW w:w="1832" w:type="dxa"/>
            <w:vAlign w:val="center"/>
          </w:tcPr>
          <w:p w14:paraId="421A6793" w14:textId="77777777" w:rsidR="00DC521E" w:rsidRDefault="00DC521E" w:rsidP="00DC521E"/>
        </w:tc>
        <w:tc>
          <w:tcPr>
            <w:tcW w:w="1925" w:type="dxa"/>
            <w:vAlign w:val="center"/>
          </w:tcPr>
          <w:p w14:paraId="0A04516A" w14:textId="77777777" w:rsidR="00DC521E" w:rsidRDefault="00DC521E" w:rsidP="00DC521E"/>
        </w:tc>
        <w:tc>
          <w:tcPr>
            <w:tcW w:w="1708" w:type="dxa"/>
            <w:vAlign w:val="center"/>
          </w:tcPr>
          <w:p w14:paraId="62B40F45" w14:textId="77777777" w:rsidR="00DC521E" w:rsidRDefault="00DC521E" w:rsidP="00DC521E"/>
        </w:tc>
        <w:tc>
          <w:tcPr>
            <w:tcW w:w="1708" w:type="dxa"/>
            <w:vAlign w:val="center"/>
          </w:tcPr>
          <w:p w14:paraId="61E5CD98" w14:textId="246D40B2" w:rsidR="00DC521E" w:rsidRDefault="00276331" w:rsidP="00DC521E">
            <w:pPr>
              <w:jc w:val="right"/>
            </w:pPr>
            <w:r>
              <w:rPr>
                <w:lang w:val="es"/>
              </w:rPr>
              <w:t>meses</w:t>
            </w:r>
          </w:p>
        </w:tc>
      </w:tr>
    </w:tbl>
    <w:p w14:paraId="78B71335" w14:textId="77777777" w:rsidR="00ED4ECF" w:rsidRDefault="00ED4ECF" w:rsidP="005E365B">
      <w:pPr>
        <w:spacing w:after="0" w:line="240" w:lineRule="auto"/>
      </w:pPr>
    </w:p>
    <w:p w14:paraId="00C22EC8" w14:textId="69429241" w:rsidR="00FB3F56" w:rsidRPr="00276331" w:rsidRDefault="00276331" w:rsidP="00FB3F56">
      <w:pPr>
        <w:spacing w:after="0"/>
        <w:rPr>
          <w:lang w:val="es-ES"/>
        </w:rPr>
      </w:pPr>
      <w:r w:rsidRPr="00627757">
        <w:rPr>
          <w:rFonts w:cstheme="minorHAnsi"/>
          <w:lang w:val="es"/>
        </w:rPr>
        <w:t>El canon de alquiler que pagará a partir de ahora entrará en vigor el ____/____/______, por lo menos noventa (90) días a partir de la fecha que aparece en esta notificación. Si no desea continuar arrendando la vivienda donde vive al precio nuevo, deberá notificar con sesenta (60) días de anticipación su intención de desocupar el inmueble.</w:t>
      </w:r>
    </w:p>
    <w:p w14:paraId="34896F9F" w14:textId="77777777" w:rsidR="00FB3F56" w:rsidRPr="00276331" w:rsidRDefault="00FB3F56" w:rsidP="00FB3F56">
      <w:pPr>
        <w:spacing w:after="0"/>
        <w:rPr>
          <w:lang w:val="es-ES"/>
        </w:rPr>
      </w:pPr>
    </w:p>
    <w:p w14:paraId="5BE358C6" w14:textId="06799445" w:rsidR="00FB3F56" w:rsidRPr="00276331" w:rsidRDefault="00276331" w:rsidP="00FB3F56">
      <w:pPr>
        <w:spacing w:after="0"/>
        <w:rPr>
          <w:lang w:val="es-ES"/>
        </w:rPr>
      </w:pPr>
      <w:r>
        <w:rPr>
          <w:lang w:val="es"/>
        </w:rPr>
        <w:t xml:space="preserve">Si considera que el aumento del canon de arrendamiento es excesivo, puede solicitarle a la Oficina de Estabilización de Alquileres del condado de Montgomery que analice la tarifa mensual nueva, a través del (240) 777-0311 o del centro de operadores del condado de </w:t>
      </w:r>
      <w:r w:rsidR="004D5B98">
        <w:rPr>
          <w:lang w:val="es"/>
        </w:rPr>
        <w:t>Montgomery</w:t>
      </w:r>
      <w:r>
        <w:rPr>
          <w:lang w:val="es"/>
        </w:rPr>
        <w:t> MC311.</w:t>
      </w:r>
    </w:p>
    <w:p w14:paraId="71C0FE7B" w14:textId="77777777" w:rsidR="00FB3F56" w:rsidRPr="00276331" w:rsidRDefault="00FB3F56" w:rsidP="00FB3F56">
      <w:pPr>
        <w:spacing w:after="0"/>
        <w:rPr>
          <w:lang w:val="es-ES"/>
        </w:rPr>
      </w:pPr>
    </w:p>
    <w:p w14:paraId="13EFB304" w14:textId="77777777" w:rsidR="00FB3F56" w:rsidRDefault="00276331" w:rsidP="00FB3F56">
      <w:pPr>
        <w:spacing w:after="0"/>
        <w:ind w:left="3600" w:firstLine="720"/>
      </w:pPr>
      <w:r>
        <w:rPr>
          <w:lang w:val="es"/>
        </w:rPr>
        <w:t>Atentamente,</w:t>
      </w:r>
    </w:p>
    <w:p w14:paraId="6DB35D84" w14:textId="77777777" w:rsidR="00FB3F56" w:rsidRDefault="00FB3F56" w:rsidP="00FB3F56">
      <w:pPr>
        <w:spacing w:after="0"/>
      </w:pPr>
    </w:p>
    <w:p w14:paraId="15179295" w14:textId="77777777" w:rsidR="00FB3F56" w:rsidRDefault="00276331" w:rsidP="00FB3F56">
      <w:pPr>
        <w:spacing w:after="0"/>
        <w:ind w:left="3600" w:firstLine="720"/>
      </w:pPr>
      <w:r>
        <w:rPr>
          <w:lang w:val="es"/>
        </w:rPr>
        <w:t>____________________________</w:t>
      </w:r>
    </w:p>
    <w:p w14:paraId="445F1AE5" w14:textId="77777777" w:rsidR="00FB3F56" w:rsidRDefault="00276331" w:rsidP="00FB3F56">
      <w:pPr>
        <w:ind w:left="3600"/>
      </w:pPr>
      <w:r>
        <w:rPr>
          <w:lang w:val="es"/>
        </w:rPr>
        <w:tab/>
        <w:t>Propietario / agente inmobiliario</w:t>
      </w:r>
    </w:p>
    <w:p w14:paraId="6311A9DE" w14:textId="77777777" w:rsidR="00E343EF" w:rsidRDefault="00E343EF" w:rsidP="00C32F8C"/>
    <w:sectPr w:rsidR="00E343EF" w:rsidSect="005A2CFC">
      <w:footerReference w:type="default" r:id="rId10"/>
      <w:pgSz w:w="12240" w:h="15840"/>
      <w:pgMar w:top="99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FF70D" w14:textId="77777777" w:rsidR="00C95EE7" w:rsidRDefault="00C95EE7">
      <w:pPr>
        <w:spacing w:after="0" w:line="240" w:lineRule="auto"/>
      </w:pPr>
      <w:r>
        <w:separator/>
      </w:r>
    </w:p>
  </w:endnote>
  <w:endnote w:type="continuationSeparator" w:id="0">
    <w:p w14:paraId="788333B7" w14:textId="77777777" w:rsidR="00C95EE7" w:rsidRDefault="00C95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114684"/>
      <w:docPartObj>
        <w:docPartGallery w:val="Page Numbers (Bottom of Page)"/>
        <w:docPartUnique/>
      </w:docPartObj>
    </w:sdtPr>
    <w:sdtEndPr>
      <w:rPr>
        <w:noProof/>
        <w:sz w:val="20"/>
        <w:szCs w:val="20"/>
      </w:rPr>
    </w:sdtEndPr>
    <w:sdtContent>
      <w:p w14:paraId="5F2AAAA1" w14:textId="0202C0D3" w:rsidR="00D467C5" w:rsidRPr="00276331" w:rsidRDefault="00276331" w:rsidP="00201C51">
        <w:pPr>
          <w:pStyle w:val="Footer"/>
          <w:rPr>
            <w:sz w:val="20"/>
            <w:szCs w:val="20"/>
            <w:lang w:val="es-ES"/>
          </w:rPr>
        </w:pPr>
        <w:r w:rsidRPr="00D85349">
          <w:rPr>
            <w:sz w:val="20"/>
            <w:szCs w:val="20"/>
          </w:rPr>
          <w:fldChar w:fldCharType="begin"/>
        </w:r>
        <w:r w:rsidRPr="00D85349">
          <w:rPr>
            <w:sz w:val="20"/>
            <w:szCs w:val="20"/>
            <w:lang w:val="es"/>
          </w:rPr>
          <w:instrText xml:space="preserve"> PAGE   \* MERGEFORMAT </w:instrText>
        </w:r>
        <w:r w:rsidRPr="00D85349">
          <w:rPr>
            <w:sz w:val="20"/>
            <w:szCs w:val="20"/>
          </w:rPr>
          <w:fldChar w:fldCharType="separate"/>
        </w:r>
        <w:r w:rsidRPr="00D85349">
          <w:rPr>
            <w:noProof/>
            <w:sz w:val="20"/>
            <w:szCs w:val="20"/>
            <w:lang w:val="es"/>
          </w:rPr>
          <w:t>3</w:t>
        </w:r>
        <w:r w:rsidRPr="00D85349">
          <w:rPr>
            <w:noProof/>
            <w:sz w:val="20"/>
            <w:szCs w:val="20"/>
          </w:rPr>
          <w:fldChar w:fldCharType="end"/>
        </w:r>
        <w:r w:rsidRPr="00D85349">
          <w:rPr>
            <w:noProof/>
            <w:sz w:val="20"/>
            <w:szCs w:val="20"/>
            <w:lang w:val="es"/>
          </w:rPr>
          <w:t xml:space="preserve">          Notificaciónes de aumento del canon de alquiler – Rev. en marzo de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60E3D" w14:textId="77777777" w:rsidR="00C95EE7" w:rsidRDefault="00C95EE7">
      <w:pPr>
        <w:spacing w:after="0" w:line="240" w:lineRule="auto"/>
      </w:pPr>
      <w:r>
        <w:separator/>
      </w:r>
    </w:p>
  </w:footnote>
  <w:footnote w:type="continuationSeparator" w:id="0">
    <w:p w14:paraId="06C62F8A" w14:textId="77777777" w:rsidR="00C95EE7" w:rsidRDefault="00C95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F776E"/>
    <w:multiLevelType w:val="hybridMultilevel"/>
    <w:tmpl w:val="C4A8FB7A"/>
    <w:lvl w:ilvl="0" w:tplc="5C5C94A4">
      <w:numFmt w:val="bullet"/>
      <w:lvlText w:val=""/>
      <w:lvlJc w:val="left"/>
      <w:pPr>
        <w:ind w:left="720" w:hanging="360"/>
      </w:pPr>
      <w:rPr>
        <w:rFonts w:ascii="Symbol" w:eastAsiaTheme="minorHAnsi" w:hAnsi="Symbol" w:cstheme="minorBidi" w:hint="default"/>
      </w:rPr>
    </w:lvl>
    <w:lvl w:ilvl="1" w:tplc="CF1049F0" w:tentative="1">
      <w:start w:val="1"/>
      <w:numFmt w:val="bullet"/>
      <w:lvlText w:val="o"/>
      <w:lvlJc w:val="left"/>
      <w:pPr>
        <w:ind w:left="1440" w:hanging="360"/>
      </w:pPr>
      <w:rPr>
        <w:rFonts w:ascii="Courier New" w:hAnsi="Courier New" w:cs="Courier New" w:hint="default"/>
      </w:rPr>
    </w:lvl>
    <w:lvl w:ilvl="2" w:tplc="D7EAE028" w:tentative="1">
      <w:start w:val="1"/>
      <w:numFmt w:val="bullet"/>
      <w:lvlText w:val=""/>
      <w:lvlJc w:val="left"/>
      <w:pPr>
        <w:ind w:left="2160" w:hanging="360"/>
      </w:pPr>
      <w:rPr>
        <w:rFonts w:ascii="Wingdings" w:hAnsi="Wingdings" w:hint="default"/>
      </w:rPr>
    </w:lvl>
    <w:lvl w:ilvl="3" w:tplc="11FAFD2E" w:tentative="1">
      <w:start w:val="1"/>
      <w:numFmt w:val="bullet"/>
      <w:lvlText w:val=""/>
      <w:lvlJc w:val="left"/>
      <w:pPr>
        <w:ind w:left="2880" w:hanging="360"/>
      </w:pPr>
      <w:rPr>
        <w:rFonts w:ascii="Symbol" w:hAnsi="Symbol" w:hint="default"/>
      </w:rPr>
    </w:lvl>
    <w:lvl w:ilvl="4" w:tplc="997CC61A" w:tentative="1">
      <w:start w:val="1"/>
      <w:numFmt w:val="bullet"/>
      <w:lvlText w:val="o"/>
      <w:lvlJc w:val="left"/>
      <w:pPr>
        <w:ind w:left="3600" w:hanging="360"/>
      </w:pPr>
      <w:rPr>
        <w:rFonts w:ascii="Courier New" w:hAnsi="Courier New" w:cs="Courier New" w:hint="default"/>
      </w:rPr>
    </w:lvl>
    <w:lvl w:ilvl="5" w:tplc="48F68426" w:tentative="1">
      <w:start w:val="1"/>
      <w:numFmt w:val="bullet"/>
      <w:lvlText w:val=""/>
      <w:lvlJc w:val="left"/>
      <w:pPr>
        <w:ind w:left="4320" w:hanging="360"/>
      </w:pPr>
      <w:rPr>
        <w:rFonts w:ascii="Wingdings" w:hAnsi="Wingdings" w:hint="default"/>
      </w:rPr>
    </w:lvl>
    <w:lvl w:ilvl="6" w:tplc="118688D4" w:tentative="1">
      <w:start w:val="1"/>
      <w:numFmt w:val="bullet"/>
      <w:lvlText w:val=""/>
      <w:lvlJc w:val="left"/>
      <w:pPr>
        <w:ind w:left="5040" w:hanging="360"/>
      </w:pPr>
      <w:rPr>
        <w:rFonts w:ascii="Symbol" w:hAnsi="Symbol" w:hint="default"/>
      </w:rPr>
    </w:lvl>
    <w:lvl w:ilvl="7" w:tplc="B762B4BC" w:tentative="1">
      <w:start w:val="1"/>
      <w:numFmt w:val="bullet"/>
      <w:lvlText w:val="o"/>
      <w:lvlJc w:val="left"/>
      <w:pPr>
        <w:ind w:left="5760" w:hanging="360"/>
      </w:pPr>
      <w:rPr>
        <w:rFonts w:ascii="Courier New" w:hAnsi="Courier New" w:cs="Courier New" w:hint="default"/>
      </w:rPr>
    </w:lvl>
    <w:lvl w:ilvl="8" w:tplc="2736BC2C" w:tentative="1">
      <w:start w:val="1"/>
      <w:numFmt w:val="bullet"/>
      <w:lvlText w:val=""/>
      <w:lvlJc w:val="left"/>
      <w:pPr>
        <w:ind w:left="6480" w:hanging="360"/>
      </w:pPr>
      <w:rPr>
        <w:rFonts w:ascii="Wingdings" w:hAnsi="Wingdings" w:hint="default"/>
      </w:rPr>
    </w:lvl>
  </w:abstractNum>
  <w:abstractNum w:abstractNumId="1" w15:restartNumberingAfterBreak="0">
    <w:nsid w:val="652B7D46"/>
    <w:multiLevelType w:val="hybridMultilevel"/>
    <w:tmpl w:val="C804F298"/>
    <w:lvl w:ilvl="0" w:tplc="6FC2D2CE">
      <w:numFmt w:val="bullet"/>
      <w:lvlText w:val=""/>
      <w:lvlJc w:val="left"/>
      <w:pPr>
        <w:ind w:left="720" w:hanging="360"/>
      </w:pPr>
      <w:rPr>
        <w:rFonts w:ascii="Symbol" w:eastAsiaTheme="minorHAnsi" w:hAnsi="Symbol" w:cstheme="minorBidi" w:hint="default"/>
      </w:rPr>
    </w:lvl>
    <w:lvl w:ilvl="1" w:tplc="C8DAF62C" w:tentative="1">
      <w:start w:val="1"/>
      <w:numFmt w:val="bullet"/>
      <w:lvlText w:val="o"/>
      <w:lvlJc w:val="left"/>
      <w:pPr>
        <w:ind w:left="1440" w:hanging="360"/>
      </w:pPr>
      <w:rPr>
        <w:rFonts w:ascii="Courier New" w:hAnsi="Courier New" w:cs="Courier New" w:hint="default"/>
      </w:rPr>
    </w:lvl>
    <w:lvl w:ilvl="2" w:tplc="B00AFFC6" w:tentative="1">
      <w:start w:val="1"/>
      <w:numFmt w:val="bullet"/>
      <w:lvlText w:val=""/>
      <w:lvlJc w:val="left"/>
      <w:pPr>
        <w:ind w:left="2160" w:hanging="360"/>
      </w:pPr>
      <w:rPr>
        <w:rFonts w:ascii="Wingdings" w:hAnsi="Wingdings" w:hint="default"/>
      </w:rPr>
    </w:lvl>
    <w:lvl w:ilvl="3" w:tplc="DD6863CE" w:tentative="1">
      <w:start w:val="1"/>
      <w:numFmt w:val="bullet"/>
      <w:lvlText w:val=""/>
      <w:lvlJc w:val="left"/>
      <w:pPr>
        <w:ind w:left="2880" w:hanging="360"/>
      </w:pPr>
      <w:rPr>
        <w:rFonts w:ascii="Symbol" w:hAnsi="Symbol" w:hint="default"/>
      </w:rPr>
    </w:lvl>
    <w:lvl w:ilvl="4" w:tplc="329AACB6" w:tentative="1">
      <w:start w:val="1"/>
      <w:numFmt w:val="bullet"/>
      <w:lvlText w:val="o"/>
      <w:lvlJc w:val="left"/>
      <w:pPr>
        <w:ind w:left="3600" w:hanging="360"/>
      </w:pPr>
      <w:rPr>
        <w:rFonts w:ascii="Courier New" w:hAnsi="Courier New" w:cs="Courier New" w:hint="default"/>
      </w:rPr>
    </w:lvl>
    <w:lvl w:ilvl="5" w:tplc="3C4A4424" w:tentative="1">
      <w:start w:val="1"/>
      <w:numFmt w:val="bullet"/>
      <w:lvlText w:val=""/>
      <w:lvlJc w:val="left"/>
      <w:pPr>
        <w:ind w:left="4320" w:hanging="360"/>
      </w:pPr>
      <w:rPr>
        <w:rFonts w:ascii="Wingdings" w:hAnsi="Wingdings" w:hint="default"/>
      </w:rPr>
    </w:lvl>
    <w:lvl w:ilvl="6" w:tplc="65CCA5C6" w:tentative="1">
      <w:start w:val="1"/>
      <w:numFmt w:val="bullet"/>
      <w:lvlText w:val=""/>
      <w:lvlJc w:val="left"/>
      <w:pPr>
        <w:ind w:left="5040" w:hanging="360"/>
      </w:pPr>
      <w:rPr>
        <w:rFonts w:ascii="Symbol" w:hAnsi="Symbol" w:hint="default"/>
      </w:rPr>
    </w:lvl>
    <w:lvl w:ilvl="7" w:tplc="148A5CEE" w:tentative="1">
      <w:start w:val="1"/>
      <w:numFmt w:val="bullet"/>
      <w:lvlText w:val="o"/>
      <w:lvlJc w:val="left"/>
      <w:pPr>
        <w:ind w:left="5760" w:hanging="360"/>
      </w:pPr>
      <w:rPr>
        <w:rFonts w:ascii="Courier New" w:hAnsi="Courier New" w:cs="Courier New" w:hint="default"/>
      </w:rPr>
    </w:lvl>
    <w:lvl w:ilvl="8" w:tplc="82C6635E" w:tentative="1">
      <w:start w:val="1"/>
      <w:numFmt w:val="bullet"/>
      <w:lvlText w:val=""/>
      <w:lvlJc w:val="left"/>
      <w:pPr>
        <w:ind w:left="6480" w:hanging="360"/>
      </w:pPr>
      <w:rPr>
        <w:rFonts w:ascii="Wingdings" w:hAnsi="Wingdings" w:hint="default"/>
      </w:rPr>
    </w:lvl>
  </w:abstractNum>
  <w:num w:numId="1" w16cid:durableId="1567687851">
    <w:abstractNumId w:val="1"/>
  </w:num>
  <w:num w:numId="2" w16cid:durableId="1235971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53"/>
    <w:rsid w:val="0000425B"/>
    <w:rsid w:val="0001541E"/>
    <w:rsid w:val="00034BF8"/>
    <w:rsid w:val="00046592"/>
    <w:rsid w:val="00055DDF"/>
    <w:rsid w:val="00064762"/>
    <w:rsid w:val="0007216B"/>
    <w:rsid w:val="00077696"/>
    <w:rsid w:val="0008048D"/>
    <w:rsid w:val="000A7B7A"/>
    <w:rsid w:val="000B4293"/>
    <w:rsid w:val="000B53C6"/>
    <w:rsid w:val="000B7261"/>
    <w:rsid w:val="000C2018"/>
    <w:rsid w:val="000D7EC7"/>
    <w:rsid w:val="000E1457"/>
    <w:rsid w:val="000F6E06"/>
    <w:rsid w:val="000F70D1"/>
    <w:rsid w:val="00107256"/>
    <w:rsid w:val="001135EE"/>
    <w:rsid w:val="00131339"/>
    <w:rsid w:val="00144A45"/>
    <w:rsid w:val="00145AEB"/>
    <w:rsid w:val="00147CC7"/>
    <w:rsid w:val="00157BD5"/>
    <w:rsid w:val="0016274D"/>
    <w:rsid w:val="001637E9"/>
    <w:rsid w:val="00164301"/>
    <w:rsid w:val="001846A2"/>
    <w:rsid w:val="00192729"/>
    <w:rsid w:val="00194D5B"/>
    <w:rsid w:val="001C6955"/>
    <w:rsid w:val="001F7574"/>
    <w:rsid w:val="00201C51"/>
    <w:rsid w:val="00202AAD"/>
    <w:rsid w:val="00206238"/>
    <w:rsid w:val="00227A99"/>
    <w:rsid w:val="00250C4E"/>
    <w:rsid w:val="00255C6F"/>
    <w:rsid w:val="00263C52"/>
    <w:rsid w:val="002649CA"/>
    <w:rsid w:val="00266024"/>
    <w:rsid w:val="00276331"/>
    <w:rsid w:val="00276694"/>
    <w:rsid w:val="00276D67"/>
    <w:rsid w:val="002B5DBC"/>
    <w:rsid w:val="002B61A0"/>
    <w:rsid w:val="002C0269"/>
    <w:rsid w:val="002C11DA"/>
    <w:rsid w:val="002C7573"/>
    <w:rsid w:val="002D1847"/>
    <w:rsid w:val="002D2110"/>
    <w:rsid w:val="002E4E1C"/>
    <w:rsid w:val="002F57DB"/>
    <w:rsid w:val="00313E51"/>
    <w:rsid w:val="0031657F"/>
    <w:rsid w:val="00331893"/>
    <w:rsid w:val="003328D1"/>
    <w:rsid w:val="0033317A"/>
    <w:rsid w:val="00340B1C"/>
    <w:rsid w:val="00345F9A"/>
    <w:rsid w:val="00360524"/>
    <w:rsid w:val="003719CB"/>
    <w:rsid w:val="0037383D"/>
    <w:rsid w:val="003774E1"/>
    <w:rsid w:val="00391E4F"/>
    <w:rsid w:val="0039232E"/>
    <w:rsid w:val="003A4B35"/>
    <w:rsid w:val="003A6985"/>
    <w:rsid w:val="003C7DD7"/>
    <w:rsid w:val="003D74F3"/>
    <w:rsid w:val="003E023B"/>
    <w:rsid w:val="003E51B1"/>
    <w:rsid w:val="00401700"/>
    <w:rsid w:val="00413599"/>
    <w:rsid w:val="0041719E"/>
    <w:rsid w:val="00422899"/>
    <w:rsid w:val="00434C4E"/>
    <w:rsid w:val="004479F1"/>
    <w:rsid w:val="00462E9F"/>
    <w:rsid w:val="00463672"/>
    <w:rsid w:val="004716F0"/>
    <w:rsid w:val="00475DC3"/>
    <w:rsid w:val="004A26BE"/>
    <w:rsid w:val="004A3148"/>
    <w:rsid w:val="004A5AC0"/>
    <w:rsid w:val="004B007D"/>
    <w:rsid w:val="004C0D78"/>
    <w:rsid w:val="004C11FB"/>
    <w:rsid w:val="004C45AD"/>
    <w:rsid w:val="004D29F4"/>
    <w:rsid w:val="004D5B98"/>
    <w:rsid w:val="004E2112"/>
    <w:rsid w:val="004E495A"/>
    <w:rsid w:val="004F21BA"/>
    <w:rsid w:val="004F49E3"/>
    <w:rsid w:val="005021A6"/>
    <w:rsid w:val="00505AF2"/>
    <w:rsid w:val="005214E4"/>
    <w:rsid w:val="005216AB"/>
    <w:rsid w:val="00523B5B"/>
    <w:rsid w:val="00540C29"/>
    <w:rsid w:val="0055560D"/>
    <w:rsid w:val="00570365"/>
    <w:rsid w:val="00575CEE"/>
    <w:rsid w:val="00586E75"/>
    <w:rsid w:val="005A0424"/>
    <w:rsid w:val="005A2CFC"/>
    <w:rsid w:val="005C0864"/>
    <w:rsid w:val="005C38B3"/>
    <w:rsid w:val="005D30B9"/>
    <w:rsid w:val="005E365B"/>
    <w:rsid w:val="005F5B1F"/>
    <w:rsid w:val="005F7B9F"/>
    <w:rsid w:val="00600735"/>
    <w:rsid w:val="00605C78"/>
    <w:rsid w:val="006104EB"/>
    <w:rsid w:val="0062262A"/>
    <w:rsid w:val="00625915"/>
    <w:rsid w:val="0062666D"/>
    <w:rsid w:val="00627757"/>
    <w:rsid w:val="00636BE0"/>
    <w:rsid w:val="00645E23"/>
    <w:rsid w:val="00665532"/>
    <w:rsid w:val="00666FB5"/>
    <w:rsid w:val="006678A8"/>
    <w:rsid w:val="00686B2D"/>
    <w:rsid w:val="006A5873"/>
    <w:rsid w:val="006A6735"/>
    <w:rsid w:val="006B4D5E"/>
    <w:rsid w:val="006C6BA5"/>
    <w:rsid w:val="006D0901"/>
    <w:rsid w:val="006E13BC"/>
    <w:rsid w:val="006E1AAE"/>
    <w:rsid w:val="006E551F"/>
    <w:rsid w:val="006F5365"/>
    <w:rsid w:val="00704DD1"/>
    <w:rsid w:val="00730214"/>
    <w:rsid w:val="007406E3"/>
    <w:rsid w:val="00745D3F"/>
    <w:rsid w:val="00746203"/>
    <w:rsid w:val="0078435B"/>
    <w:rsid w:val="007873B5"/>
    <w:rsid w:val="007A08B6"/>
    <w:rsid w:val="007A1A9B"/>
    <w:rsid w:val="007A3A75"/>
    <w:rsid w:val="007B001C"/>
    <w:rsid w:val="007B1FC6"/>
    <w:rsid w:val="007B75E5"/>
    <w:rsid w:val="007B7E30"/>
    <w:rsid w:val="007D52C8"/>
    <w:rsid w:val="007D7DD0"/>
    <w:rsid w:val="007E0B6F"/>
    <w:rsid w:val="00802796"/>
    <w:rsid w:val="00802A9D"/>
    <w:rsid w:val="00804E2A"/>
    <w:rsid w:val="008138DB"/>
    <w:rsid w:val="0081541F"/>
    <w:rsid w:val="008164F8"/>
    <w:rsid w:val="008203A4"/>
    <w:rsid w:val="00824322"/>
    <w:rsid w:val="008304E2"/>
    <w:rsid w:val="00833206"/>
    <w:rsid w:val="00835B66"/>
    <w:rsid w:val="00837CC0"/>
    <w:rsid w:val="0084507D"/>
    <w:rsid w:val="00852F80"/>
    <w:rsid w:val="008608B2"/>
    <w:rsid w:val="00860C9E"/>
    <w:rsid w:val="0086407C"/>
    <w:rsid w:val="00867B3C"/>
    <w:rsid w:val="00896980"/>
    <w:rsid w:val="008A1295"/>
    <w:rsid w:val="008A280E"/>
    <w:rsid w:val="008A335C"/>
    <w:rsid w:val="008A70DE"/>
    <w:rsid w:val="008B07DA"/>
    <w:rsid w:val="008B19E3"/>
    <w:rsid w:val="008C07F7"/>
    <w:rsid w:val="008D5639"/>
    <w:rsid w:val="008E302F"/>
    <w:rsid w:val="008F5327"/>
    <w:rsid w:val="008F7B7B"/>
    <w:rsid w:val="00900D8A"/>
    <w:rsid w:val="00910D40"/>
    <w:rsid w:val="00915240"/>
    <w:rsid w:val="0093237A"/>
    <w:rsid w:val="00941784"/>
    <w:rsid w:val="00942C80"/>
    <w:rsid w:val="009625BF"/>
    <w:rsid w:val="00962AF1"/>
    <w:rsid w:val="00963535"/>
    <w:rsid w:val="00963CA7"/>
    <w:rsid w:val="00970F41"/>
    <w:rsid w:val="00974015"/>
    <w:rsid w:val="00975597"/>
    <w:rsid w:val="00990DCC"/>
    <w:rsid w:val="00995EA4"/>
    <w:rsid w:val="009A078A"/>
    <w:rsid w:val="009B1C13"/>
    <w:rsid w:val="009B719B"/>
    <w:rsid w:val="009C3F0D"/>
    <w:rsid w:val="009C6DF9"/>
    <w:rsid w:val="009D4695"/>
    <w:rsid w:val="009E3F86"/>
    <w:rsid w:val="00A03307"/>
    <w:rsid w:val="00A0537E"/>
    <w:rsid w:val="00A13CD8"/>
    <w:rsid w:val="00A205D6"/>
    <w:rsid w:val="00A20696"/>
    <w:rsid w:val="00A2190E"/>
    <w:rsid w:val="00A31BBD"/>
    <w:rsid w:val="00A40D37"/>
    <w:rsid w:val="00A444E8"/>
    <w:rsid w:val="00A55D53"/>
    <w:rsid w:val="00A57FCD"/>
    <w:rsid w:val="00A64E11"/>
    <w:rsid w:val="00A7102D"/>
    <w:rsid w:val="00A913FE"/>
    <w:rsid w:val="00AB229B"/>
    <w:rsid w:val="00AB6755"/>
    <w:rsid w:val="00AB683B"/>
    <w:rsid w:val="00AC1C2F"/>
    <w:rsid w:val="00AE1987"/>
    <w:rsid w:val="00AF418E"/>
    <w:rsid w:val="00AF6762"/>
    <w:rsid w:val="00B00353"/>
    <w:rsid w:val="00B157C4"/>
    <w:rsid w:val="00B23614"/>
    <w:rsid w:val="00B23D61"/>
    <w:rsid w:val="00B459FB"/>
    <w:rsid w:val="00B550AB"/>
    <w:rsid w:val="00B576DD"/>
    <w:rsid w:val="00B81B20"/>
    <w:rsid w:val="00B92F70"/>
    <w:rsid w:val="00B94359"/>
    <w:rsid w:val="00B970B4"/>
    <w:rsid w:val="00BA418E"/>
    <w:rsid w:val="00BA502D"/>
    <w:rsid w:val="00BA7454"/>
    <w:rsid w:val="00BB49F4"/>
    <w:rsid w:val="00BB66A9"/>
    <w:rsid w:val="00BB6999"/>
    <w:rsid w:val="00BC0FC3"/>
    <w:rsid w:val="00BC4FC9"/>
    <w:rsid w:val="00BE37AC"/>
    <w:rsid w:val="00BF3C42"/>
    <w:rsid w:val="00BF565B"/>
    <w:rsid w:val="00C2127B"/>
    <w:rsid w:val="00C32F8C"/>
    <w:rsid w:val="00C47568"/>
    <w:rsid w:val="00C55B03"/>
    <w:rsid w:val="00C633EF"/>
    <w:rsid w:val="00C6578D"/>
    <w:rsid w:val="00C701E2"/>
    <w:rsid w:val="00C70281"/>
    <w:rsid w:val="00C77B6D"/>
    <w:rsid w:val="00C85470"/>
    <w:rsid w:val="00C87439"/>
    <w:rsid w:val="00C95EE7"/>
    <w:rsid w:val="00CB24FF"/>
    <w:rsid w:val="00CB2DC8"/>
    <w:rsid w:val="00CC63E5"/>
    <w:rsid w:val="00CD3602"/>
    <w:rsid w:val="00CE51AC"/>
    <w:rsid w:val="00CF2913"/>
    <w:rsid w:val="00CF7DD2"/>
    <w:rsid w:val="00D01A83"/>
    <w:rsid w:val="00D12ED7"/>
    <w:rsid w:val="00D24F71"/>
    <w:rsid w:val="00D34200"/>
    <w:rsid w:val="00D467C5"/>
    <w:rsid w:val="00D531F5"/>
    <w:rsid w:val="00D67012"/>
    <w:rsid w:val="00D77BDF"/>
    <w:rsid w:val="00D85349"/>
    <w:rsid w:val="00D92B8C"/>
    <w:rsid w:val="00DA3F53"/>
    <w:rsid w:val="00DC521E"/>
    <w:rsid w:val="00DE7573"/>
    <w:rsid w:val="00DF09D1"/>
    <w:rsid w:val="00DF507F"/>
    <w:rsid w:val="00E23A20"/>
    <w:rsid w:val="00E343EF"/>
    <w:rsid w:val="00E5113C"/>
    <w:rsid w:val="00E6104B"/>
    <w:rsid w:val="00E73AAA"/>
    <w:rsid w:val="00E94557"/>
    <w:rsid w:val="00EB5CBA"/>
    <w:rsid w:val="00EB60EB"/>
    <w:rsid w:val="00ED4ECF"/>
    <w:rsid w:val="00EF7513"/>
    <w:rsid w:val="00F02008"/>
    <w:rsid w:val="00F04569"/>
    <w:rsid w:val="00F129E4"/>
    <w:rsid w:val="00F14D08"/>
    <w:rsid w:val="00F20DCE"/>
    <w:rsid w:val="00F243E7"/>
    <w:rsid w:val="00F26939"/>
    <w:rsid w:val="00F33820"/>
    <w:rsid w:val="00F558AC"/>
    <w:rsid w:val="00F7584B"/>
    <w:rsid w:val="00F845B3"/>
    <w:rsid w:val="00F960EB"/>
    <w:rsid w:val="00FA0F57"/>
    <w:rsid w:val="00FA1395"/>
    <w:rsid w:val="00FA69B0"/>
    <w:rsid w:val="00FA7E0E"/>
    <w:rsid w:val="00FB13CC"/>
    <w:rsid w:val="00FB3F56"/>
    <w:rsid w:val="00FB7D7A"/>
    <w:rsid w:val="00FC2819"/>
    <w:rsid w:val="00FD3DA3"/>
    <w:rsid w:val="00FD59F8"/>
    <w:rsid w:val="00FD64CA"/>
    <w:rsid w:val="00FE2CF1"/>
    <w:rsid w:val="00FE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464AD"/>
  <w15:chartTrackingRefBased/>
  <w15:docId w15:val="{842FDA64-2BB7-4F54-A383-833C97BF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3CC"/>
    <w:pPr>
      <w:ind w:left="720"/>
      <w:contextualSpacing/>
    </w:pPr>
  </w:style>
  <w:style w:type="table" w:styleId="TableGrid">
    <w:name w:val="Table Grid"/>
    <w:basedOn w:val="TableNormal"/>
    <w:uiPriority w:val="39"/>
    <w:rsid w:val="00145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6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7C5"/>
  </w:style>
  <w:style w:type="paragraph" w:styleId="Footer">
    <w:name w:val="footer"/>
    <w:basedOn w:val="Normal"/>
    <w:link w:val="FooterChar"/>
    <w:uiPriority w:val="99"/>
    <w:unhideWhenUsed/>
    <w:rsid w:val="00D46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7C5"/>
  </w:style>
  <w:style w:type="character" w:styleId="CommentReference">
    <w:name w:val="annotation reference"/>
    <w:basedOn w:val="DefaultParagraphFont"/>
    <w:uiPriority w:val="99"/>
    <w:semiHidden/>
    <w:unhideWhenUsed/>
    <w:rsid w:val="00D467C5"/>
    <w:rPr>
      <w:sz w:val="16"/>
      <w:szCs w:val="16"/>
    </w:rPr>
  </w:style>
  <w:style w:type="paragraph" w:styleId="CommentText">
    <w:name w:val="annotation text"/>
    <w:basedOn w:val="Normal"/>
    <w:link w:val="CommentTextChar"/>
    <w:uiPriority w:val="99"/>
    <w:unhideWhenUsed/>
    <w:rsid w:val="00D467C5"/>
    <w:pPr>
      <w:spacing w:line="240" w:lineRule="auto"/>
    </w:pPr>
    <w:rPr>
      <w:sz w:val="20"/>
      <w:szCs w:val="20"/>
    </w:rPr>
  </w:style>
  <w:style w:type="character" w:customStyle="1" w:styleId="CommentTextChar">
    <w:name w:val="Comment Text Char"/>
    <w:basedOn w:val="DefaultParagraphFont"/>
    <w:link w:val="CommentText"/>
    <w:uiPriority w:val="99"/>
    <w:rsid w:val="00D467C5"/>
    <w:rPr>
      <w:sz w:val="20"/>
      <w:szCs w:val="20"/>
    </w:rPr>
  </w:style>
  <w:style w:type="paragraph" w:styleId="CommentSubject">
    <w:name w:val="annotation subject"/>
    <w:basedOn w:val="CommentText"/>
    <w:next w:val="CommentText"/>
    <w:link w:val="CommentSubjectChar"/>
    <w:uiPriority w:val="99"/>
    <w:semiHidden/>
    <w:unhideWhenUsed/>
    <w:rsid w:val="00D467C5"/>
    <w:rPr>
      <w:b/>
      <w:bCs/>
    </w:rPr>
  </w:style>
  <w:style w:type="character" w:customStyle="1" w:styleId="CommentSubjectChar">
    <w:name w:val="Comment Subject Char"/>
    <w:basedOn w:val="CommentTextChar"/>
    <w:link w:val="CommentSubject"/>
    <w:uiPriority w:val="99"/>
    <w:semiHidden/>
    <w:rsid w:val="00D467C5"/>
    <w:rPr>
      <w:b/>
      <w:bCs/>
      <w:sz w:val="20"/>
      <w:szCs w:val="20"/>
    </w:rPr>
  </w:style>
  <w:style w:type="paragraph" w:styleId="Revision">
    <w:name w:val="Revision"/>
    <w:hidden/>
    <w:uiPriority w:val="99"/>
    <w:semiHidden/>
    <w:rsid w:val="00FA69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1f1704-7854-47d9-be7c-250ba6e4e005">
      <Terms xmlns="http://schemas.microsoft.com/office/infopath/2007/PartnerControls"/>
    </lcf76f155ced4ddcb4097134ff3c332f>
    <TaxCatchAll xmlns="bafa492f-5105-494e-9604-95dd8b501d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0D6BCA68DB2747B225708248CF3DE4" ma:contentTypeVersion="16" ma:contentTypeDescription="Create a new document." ma:contentTypeScope="" ma:versionID="83001c2ec00fcf905b66703f5b4299d7">
  <xsd:schema xmlns:xsd="http://www.w3.org/2001/XMLSchema" xmlns:xs="http://www.w3.org/2001/XMLSchema" xmlns:p="http://schemas.microsoft.com/office/2006/metadata/properties" xmlns:ns2="b01f1704-7854-47d9-be7c-250ba6e4e005" xmlns:ns3="bafa492f-5105-494e-9604-95dd8b501dab" targetNamespace="http://schemas.microsoft.com/office/2006/metadata/properties" ma:root="true" ma:fieldsID="5fcfa051fa97bfefe0f04d997a217658" ns2:_="" ns3:_="">
    <xsd:import namespace="b01f1704-7854-47d9-be7c-250ba6e4e005"/>
    <xsd:import namespace="bafa492f-5105-494e-9604-95dd8b501d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f1704-7854-47d9-be7c-250ba6e4e0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a492f-5105-494e-9604-95dd8b501da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fee40f5-25f4-4555-ab1f-cefcd8c722b7}" ma:internalName="TaxCatchAll" ma:showField="CatchAllData" ma:web="bafa492f-5105-494e-9604-95dd8b5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88094F-8CDF-4A2B-A146-4AE1CB2AF68C}">
  <ds:schemaRefs>
    <ds:schemaRef ds:uri="http://schemas.microsoft.com/office/2006/metadata/properties"/>
    <ds:schemaRef ds:uri="http://schemas.microsoft.com/office/infopath/2007/PartnerControls"/>
    <ds:schemaRef ds:uri="http://schemas.microsoft.com/sharepoint/v3"/>
    <ds:schemaRef ds:uri="b01f1704-7854-47d9-be7c-250ba6e4e005"/>
    <ds:schemaRef ds:uri="bafa492f-5105-494e-9604-95dd8b501dab"/>
  </ds:schemaRefs>
</ds:datastoreItem>
</file>

<file path=customXml/itemProps2.xml><?xml version="1.0" encoding="utf-8"?>
<ds:datastoreItem xmlns:ds="http://schemas.openxmlformats.org/officeDocument/2006/customXml" ds:itemID="{027A78DA-5448-4E23-9594-7CA6927A0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f1704-7854-47d9-be7c-250ba6e4e005"/>
    <ds:schemaRef ds:uri="bafa492f-5105-494e-9604-95dd8b501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C85BB0-700D-4ADD-900D-DA1C28F7A1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894</Words>
  <Characters>4648</Characters>
  <Application>Microsoft Office Word</Application>
  <DocSecurity>0</DocSecurity>
  <Lines>193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Melvin, Polina</dc:creator>
  <cp:lastModifiedBy>Melvin, Polina</cp:lastModifiedBy>
  <cp:revision>5</cp:revision>
  <dcterms:created xsi:type="dcterms:W3CDTF">2025-05-09T16:44:00Z</dcterms:created>
  <dcterms:modified xsi:type="dcterms:W3CDTF">2025-06-26T19:33:00Z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0x0101008A0D6BCA68DB2747B225708248CF3DE4</vt:lpwstr>
  </property>
  <property fmtid="{D5CDD505-2E9C-101B-9397-08002B2CF9AE}" pid="3" name="GrammarlyDocumentId">
    <vt:lpwstr>09d12ee66a89b25ff3f27fabc30e1a4c1622c56a89bd996c405f652c1e75c82a</vt:lpwstr>
  </property>
</Properties>
</file>