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1F23" w14:textId="77777777" w:rsidR="00427EDA" w:rsidRPr="00912E95" w:rsidRDefault="001C5043" w:rsidP="00427EDA">
      <w:pPr>
        <w:jc w:val="center"/>
        <w:rPr>
          <w:rFonts w:ascii="Book Antiqua" w:hAnsi="Book Antiqua"/>
          <w:sz w:val="22"/>
          <w:szCs w:val="22"/>
        </w:rPr>
      </w:pPr>
      <w:r w:rsidRPr="00912E95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35E276C2" wp14:editId="4BF2BFC0">
            <wp:extent cx="1009650" cy="987213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7EDA" w:rsidRPr="00912E95">
        <w:rPr>
          <w:rFonts w:ascii="Book Antiqua" w:hAnsi="Book Antiqua"/>
          <w:sz w:val="22"/>
          <w:szCs w:val="22"/>
        </w:rPr>
        <w:br/>
      </w:r>
    </w:p>
    <w:p w14:paraId="497B5902" w14:textId="77777777" w:rsidR="00427EDA" w:rsidRPr="001A4441" w:rsidRDefault="00427EDA" w:rsidP="00427EDA">
      <w:pPr>
        <w:jc w:val="center"/>
        <w:rPr>
          <w:rFonts w:ascii="Book Antiqua" w:hAnsi="Book Antiqua"/>
          <w:b/>
        </w:rPr>
      </w:pPr>
      <w:r w:rsidRPr="001A4441">
        <w:rPr>
          <w:rFonts w:ascii="Book Antiqua" w:hAnsi="Book Antiqua"/>
          <w:b/>
        </w:rPr>
        <w:t>EAST COUNTY CITIZENS ADVISORY BOARD</w:t>
      </w:r>
    </w:p>
    <w:p w14:paraId="1C126CA8" w14:textId="77777777" w:rsidR="00427EDA" w:rsidRPr="00912E95" w:rsidRDefault="00427EDA" w:rsidP="00427EDA">
      <w:pPr>
        <w:jc w:val="center"/>
        <w:rPr>
          <w:rFonts w:ascii="Book Antiqua" w:hAnsi="Book Antiqua"/>
          <w:sz w:val="22"/>
          <w:szCs w:val="22"/>
        </w:rPr>
      </w:pPr>
    </w:p>
    <w:p w14:paraId="09DF3516" w14:textId="1A66ADD9" w:rsidR="00427EDA" w:rsidRPr="000A59BD" w:rsidRDefault="00E37643" w:rsidP="00427ED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September 22,</w:t>
      </w:r>
      <w:r w:rsidR="00E572E3" w:rsidRPr="000A59BD">
        <w:rPr>
          <w:rFonts w:ascii="Book Antiqua" w:hAnsi="Book Antiqua"/>
        </w:rPr>
        <w:t xml:space="preserve"> 202</w:t>
      </w:r>
      <w:r w:rsidR="00BD6F5C">
        <w:rPr>
          <w:rFonts w:ascii="Book Antiqua" w:hAnsi="Book Antiqua"/>
        </w:rPr>
        <w:t>5</w:t>
      </w:r>
    </w:p>
    <w:p w14:paraId="53044E7B" w14:textId="77777777" w:rsidR="00427EDA" w:rsidRPr="00912E95" w:rsidRDefault="00427EDA" w:rsidP="00427EDA">
      <w:pPr>
        <w:jc w:val="center"/>
        <w:rPr>
          <w:rFonts w:ascii="Book Antiqua" w:hAnsi="Book Antiqua"/>
          <w:sz w:val="22"/>
          <w:szCs w:val="22"/>
        </w:rPr>
      </w:pPr>
    </w:p>
    <w:p w14:paraId="67439514" w14:textId="0EA3B3F7" w:rsidR="00427EDA" w:rsidRPr="009B470C" w:rsidRDefault="00A874C0" w:rsidP="00427EDA">
      <w:pPr>
        <w:rPr>
          <w:sz w:val="22"/>
          <w:szCs w:val="22"/>
        </w:rPr>
      </w:pPr>
      <w:r w:rsidRPr="009B470C">
        <w:rPr>
          <w:sz w:val="22"/>
          <w:szCs w:val="22"/>
        </w:rPr>
        <w:t>The Honorable</w:t>
      </w:r>
      <w:r w:rsidR="00E572E3" w:rsidRPr="009B470C">
        <w:rPr>
          <w:sz w:val="22"/>
          <w:szCs w:val="22"/>
        </w:rPr>
        <w:t xml:space="preserve"> Marc Elrich</w:t>
      </w:r>
    </w:p>
    <w:p w14:paraId="26BB1CA6" w14:textId="141208A8" w:rsidR="00A874C0" w:rsidRPr="009B470C" w:rsidRDefault="00A874C0" w:rsidP="00427EDA">
      <w:pPr>
        <w:rPr>
          <w:sz w:val="22"/>
          <w:szCs w:val="22"/>
        </w:rPr>
      </w:pPr>
      <w:r w:rsidRPr="009B470C">
        <w:rPr>
          <w:sz w:val="22"/>
          <w:szCs w:val="22"/>
        </w:rPr>
        <w:t xml:space="preserve">Montgomery County </w:t>
      </w:r>
      <w:r w:rsidR="00E572E3" w:rsidRPr="009B470C">
        <w:rPr>
          <w:sz w:val="22"/>
          <w:szCs w:val="22"/>
        </w:rPr>
        <w:t>Executive</w:t>
      </w:r>
    </w:p>
    <w:p w14:paraId="7346D3DC" w14:textId="71E25DD7" w:rsidR="00427EDA" w:rsidRPr="009B470C" w:rsidRDefault="00E572E3" w:rsidP="00427EDA">
      <w:pPr>
        <w:rPr>
          <w:sz w:val="22"/>
          <w:szCs w:val="22"/>
        </w:rPr>
      </w:pPr>
      <w:r w:rsidRPr="009B470C">
        <w:rPr>
          <w:sz w:val="22"/>
          <w:szCs w:val="22"/>
        </w:rPr>
        <w:t>Executive Office</w:t>
      </w:r>
      <w:r w:rsidR="00A874C0" w:rsidRPr="009B470C">
        <w:rPr>
          <w:sz w:val="22"/>
          <w:szCs w:val="22"/>
        </w:rPr>
        <w:t xml:space="preserve"> Building</w:t>
      </w:r>
    </w:p>
    <w:p w14:paraId="7F3A8AAA" w14:textId="239AEF85" w:rsidR="00427EDA" w:rsidRPr="009B470C" w:rsidRDefault="00427EDA" w:rsidP="00427EDA">
      <w:pPr>
        <w:rPr>
          <w:sz w:val="22"/>
          <w:szCs w:val="22"/>
        </w:rPr>
      </w:pPr>
      <w:r w:rsidRPr="009B470C">
        <w:rPr>
          <w:sz w:val="22"/>
          <w:szCs w:val="22"/>
        </w:rPr>
        <w:t>10</w:t>
      </w:r>
      <w:r w:rsidR="00E572E3" w:rsidRPr="009B470C">
        <w:rPr>
          <w:sz w:val="22"/>
          <w:szCs w:val="22"/>
        </w:rPr>
        <w:t>1</w:t>
      </w:r>
      <w:r w:rsidR="00A874C0" w:rsidRPr="009B470C">
        <w:rPr>
          <w:sz w:val="22"/>
          <w:szCs w:val="22"/>
        </w:rPr>
        <w:t xml:space="preserve"> M</w:t>
      </w:r>
      <w:r w:rsidR="00E572E3" w:rsidRPr="009B470C">
        <w:rPr>
          <w:sz w:val="22"/>
          <w:szCs w:val="22"/>
        </w:rPr>
        <w:t>onroe Street, 2</w:t>
      </w:r>
      <w:r w:rsidR="00E572E3" w:rsidRPr="009B470C">
        <w:rPr>
          <w:sz w:val="22"/>
          <w:szCs w:val="22"/>
          <w:vertAlign w:val="superscript"/>
        </w:rPr>
        <w:t>nd</w:t>
      </w:r>
      <w:r w:rsidR="00E572E3" w:rsidRPr="009B470C">
        <w:rPr>
          <w:sz w:val="22"/>
          <w:szCs w:val="22"/>
        </w:rPr>
        <w:t xml:space="preserve"> Floor</w:t>
      </w:r>
    </w:p>
    <w:p w14:paraId="03E6A3C2" w14:textId="77777777" w:rsidR="00427EDA" w:rsidRPr="009B470C" w:rsidRDefault="00427EDA" w:rsidP="00427EDA">
      <w:pPr>
        <w:rPr>
          <w:sz w:val="22"/>
          <w:szCs w:val="22"/>
        </w:rPr>
      </w:pPr>
      <w:r w:rsidRPr="009B470C">
        <w:rPr>
          <w:sz w:val="22"/>
          <w:szCs w:val="22"/>
        </w:rPr>
        <w:t>Rockville, Maryland 20850</w:t>
      </w:r>
    </w:p>
    <w:p w14:paraId="11E9773E" w14:textId="2041BEDC" w:rsidR="001E618D" w:rsidRPr="009B470C" w:rsidRDefault="00427EDA" w:rsidP="001E618D">
      <w:pPr>
        <w:rPr>
          <w:sz w:val="22"/>
          <w:szCs w:val="22"/>
        </w:rPr>
      </w:pPr>
      <w:r w:rsidRPr="009B470C">
        <w:rPr>
          <w:sz w:val="22"/>
          <w:szCs w:val="22"/>
        </w:rPr>
        <w:br/>
        <w:t xml:space="preserve">Dear Mr. </w:t>
      </w:r>
      <w:r w:rsidR="00E572E3" w:rsidRPr="009B470C">
        <w:rPr>
          <w:sz w:val="22"/>
          <w:szCs w:val="22"/>
        </w:rPr>
        <w:t>Elrich,</w:t>
      </w:r>
    </w:p>
    <w:p w14:paraId="449036D4" w14:textId="77777777" w:rsidR="001E618D" w:rsidRPr="00EC640E" w:rsidRDefault="001E618D" w:rsidP="001E618D"/>
    <w:p w14:paraId="22B89482" w14:textId="5502BABF" w:rsidR="00227F56" w:rsidRPr="001D07A5" w:rsidRDefault="00227F56" w:rsidP="00227F56">
      <w:pPr>
        <w:rPr>
          <w:sz w:val="22"/>
          <w:szCs w:val="22"/>
        </w:rPr>
      </w:pPr>
      <w:r w:rsidRPr="001D07A5">
        <w:rPr>
          <w:sz w:val="22"/>
          <w:szCs w:val="22"/>
        </w:rPr>
        <w:t xml:space="preserve">The East County Citizens Advisory Board (ECCAB) strongly supports the Viva White Oak (VWO) development and endorses the use of Tax Increment Financing (TIF) as a viable mechanism to fund the essential infrastructure required for its success. We affirm our support for the Phase 1 projects outlined in the </w:t>
      </w:r>
      <w:r w:rsidR="0045791B">
        <w:rPr>
          <w:sz w:val="22"/>
          <w:szCs w:val="22"/>
        </w:rPr>
        <w:t>Montgomery County Planning Board</w:t>
      </w:r>
      <w:r w:rsidR="00645648">
        <w:rPr>
          <w:sz w:val="22"/>
          <w:szCs w:val="22"/>
        </w:rPr>
        <w:t xml:space="preserve">’s </w:t>
      </w:r>
      <w:r w:rsidRPr="001D07A5">
        <w:rPr>
          <w:sz w:val="22"/>
          <w:szCs w:val="22"/>
        </w:rPr>
        <w:t xml:space="preserve">staff report and emphasize the importance of identifying and planning for Phase 2 infrastructure </w:t>
      </w:r>
      <w:r w:rsidRPr="00227F56">
        <w:rPr>
          <w:sz w:val="22"/>
          <w:szCs w:val="22"/>
        </w:rPr>
        <w:t xml:space="preserve">now </w:t>
      </w:r>
      <w:r w:rsidRPr="001D07A5">
        <w:rPr>
          <w:sz w:val="22"/>
          <w:szCs w:val="22"/>
        </w:rPr>
        <w:t>to ensure the long-term viability of this transformative</w:t>
      </w:r>
      <w:r w:rsidRPr="00227F56">
        <w:rPr>
          <w:sz w:val="22"/>
          <w:szCs w:val="22"/>
        </w:rPr>
        <w:t xml:space="preserve"> development in East County</w:t>
      </w:r>
      <w:r w:rsidRPr="001D07A5">
        <w:rPr>
          <w:sz w:val="22"/>
          <w:szCs w:val="22"/>
        </w:rPr>
        <w:t>.</w:t>
      </w:r>
    </w:p>
    <w:p w14:paraId="1E25F122" w14:textId="77777777" w:rsidR="00227F56" w:rsidRPr="00227F56" w:rsidRDefault="00227F56" w:rsidP="00227F56">
      <w:pPr>
        <w:jc w:val="both"/>
        <w:rPr>
          <w:b/>
          <w:bCs/>
          <w:sz w:val="22"/>
          <w:szCs w:val="22"/>
        </w:rPr>
      </w:pPr>
    </w:p>
    <w:p w14:paraId="30A057C8" w14:textId="77777777" w:rsidR="00227F56" w:rsidRPr="001D07A5" w:rsidRDefault="00227F56" w:rsidP="00227F56">
      <w:pPr>
        <w:jc w:val="both"/>
        <w:rPr>
          <w:b/>
          <w:bCs/>
          <w:sz w:val="22"/>
          <w:szCs w:val="22"/>
        </w:rPr>
      </w:pPr>
      <w:r w:rsidRPr="001D07A5">
        <w:rPr>
          <w:b/>
          <w:bCs/>
          <w:sz w:val="22"/>
          <w:szCs w:val="22"/>
        </w:rPr>
        <w:t>Key Recommendations</w:t>
      </w:r>
    </w:p>
    <w:p w14:paraId="12545080" w14:textId="77777777" w:rsidR="00227F56" w:rsidRDefault="00227F56" w:rsidP="00227F56">
      <w:pPr>
        <w:numPr>
          <w:ilvl w:val="0"/>
          <w:numId w:val="13"/>
        </w:numPr>
        <w:tabs>
          <w:tab w:val="clear" w:pos="360"/>
          <w:tab w:val="left" w:pos="1260"/>
        </w:tabs>
        <w:jc w:val="both"/>
        <w:rPr>
          <w:sz w:val="22"/>
          <w:szCs w:val="22"/>
        </w:rPr>
      </w:pPr>
      <w:r w:rsidRPr="001D07A5">
        <w:rPr>
          <w:sz w:val="22"/>
          <w:szCs w:val="22"/>
        </w:rPr>
        <w:t xml:space="preserve">ECCAB urges the Planning Board to </w:t>
      </w:r>
      <w:r w:rsidRPr="00227F56">
        <w:rPr>
          <w:sz w:val="22"/>
          <w:szCs w:val="22"/>
        </w:rPr>
        <w:t xml:space="preserve">conduct a comprehensive project identification to </w:t>
      </w:r>
      <w:r w:rsidRPr="001D07A5">
        <w:rPr>
          <w:sz w:val="22"/>
          <w:szCs w:val="22"/>
        </w:rPr>
        <w:t xml:space="preserve">identify all infrastructure projects necessary to support VWO, </w:t>
      </w:r>
      <w:r w:rsidRPr="00227F56">
        <w:rPr>
          <w:sz w:val="22"/>
          <w:szCs w:val="22"/>
        </w:rPr>
        <w:t>funding-source neutral</w:t>
      </w:r>
      <w:r w:rsidRPr="001D07A5">
        <w:rPr>
          <w:sz w:val="22"/>
          <w:szCs w:val="22"/>
        </w:rPr>
        <w:t xml:space="preserve"> to maintain alignment with the White Oak Science Gateway Master Plan and to </w:t>
      </w:r>
      <w:r w:rsidRPr="00227F56">
        <w:rPr>
          <w:sz w:val="22"/>
          <w:szCs w:val="22"/>
        </w:rPr>
        <w:t>secure complete project completion feasibility</w:t>
      </w:r>
      <w:r w:rsidRPr="001D07A5">
        <w:rPr>
          <w:sz w:val="22"/>
          <w:szCs w:val="22"/>
        </w:rPr>
        <w:t>.</w:t>
      </w:r>
    </w:p>
    <w:p w14:paraId="46CA8667" w14:textId="77777777" w:rsidR="0027691C" w:rsidRPr="001D07A5" w:rsidRDefault="0027691C" w:rsidP="0027691C">
      <w:pPr>
        <w:tabs>
          <w:tab w:val="left" w:pos="1260"/>
        </w:tabs>
        <w:jc w:val="both"/>
        <w:rPr>
          <w:sz w:val="22"/>
          <w:szCs w:val="22"/>
        </w:rPr>
      </w:pPr>
    </w:p>
    <w:p w14:paraId="47A104DC" w14:textId="77777777" w:rsidR="00227F56" w:rsidRDefault="00227F56" w:rsidP="00227F56">
      <w:pPr>
        <w:numPr>
          <w:ilvl w:val="0"/>
          <w:numId w:val="13"/>
        </w:numPr>
        <w:tabs>
          <w:tab w:val="num" w:pos="720"/>
        </w:tabs>
        <w:jc w:val="both"/>
        <w:rPr>
          <w:sz w:val="22"/>
          <w:szCs w:val="22"/>
        </w:rPr>
      </w:pPr>
      <w:r w:rsidRPr="001D07A5">
        <w:rPr>
          <w:sz w:val="22"/>
          <w:szCs w:val="22"/>
        </w:rPr>
        <w:t xml:space="preserve">The 2017 Local Area Transportation Improvement Program (LATIP) is </w:t>
      </w:r>
      <w:r w:rsidRPr="00227F56">
        <w:rPr>
          <w:sz w:val="22"/>
          <w:szCs w:val="22"/>
        </w:rPr>
        <w:t xml:space="preserve">previously adopted program </w:t>
      </w:r>
      <w:r w:rsidRPr="001D07A5">
        <w:rPr>
          <w:sz w:val="22"/>
          <w:szCs w:val="22"/>
        </w:rPr>
        <w:t>and insufficient for the scale of VWO. While bikeways and sidewalks enhance short-distance mobility, the development demands expanded transit and roadway capacity. US29 and Cherry Hill Road—the only access points—are currently congested and will be overwhelmed without significant upgrades.</w:t>
      </w:r>
    </w:p>
    <w:p w14:paraId="39B1A155" w14:textId="77777777" w:rsidR="0027691C" w:rsidRPr="001D07A5" w:rsidRDefault="0027691C" w:rsidP="0027691C">
      <w:pPr>
        <w:jc w:val="both"/>
        <w:rPr>
          <w:sz w:val="22"/>
          <w:szCs w:val="22"/>
        </w:rPr>
      </w:pPr>
    </w:p>
    <w:p w14:paraId="074434E8" w14:textId="2FEB8C00" w:rsidR="00227F56" w:rsidRDefault="00227F56" w:rsidP="00227F56">
      <w:pPr>
        <w:numPr>
          <w:ilvl w:val="0"/>
          <w:numId w:val="13"/>
        </w:numPr>
        <w:jc w:val="both"/>
        <w:rPr>
          <w:sz w:val="22"/>
          <w:szCs w:val="22"/>
        </w:rPr>
      </w:pPr>
      <w:r w:rsidRPr="001D07A5">
        <w:rPr>
          <w:sz w:val="22"/>
          <w:szCs w:val="22"/>
        </w:rPr>
        <w:t xml:space="preserve">ECCAB recommends a four-corridor </w:t>
      </w:r>
      <w:r w:rsidRPr="00227F56">
        <w:rPr>
          <w:sz w:val="22"/>
          <w:szCs w:val="22"/>
        </w:rPr>
        <w:t xml:space="preserve">integrated </w:t>
      </w:r>
      <w:r w:rsidRPr="001D07A5">
        <w:rPr>
          <w:sz w:val="22"/>
          <w:szCs w:val="22"/>
        </w:rPr>
        <w:t>B</w:t>
      </w:r>
      <w:r w:rsidR="00BC0C66">
        <w:rPr>
          <w:sz w:val="22"/>
          <w:szCs w:val="22"/>
        </w:rPr>
        <w:t xml:space="preserve">us </w:t>
      </w:r>
      <w:r w:rsidRPr="001D07A5">
        <w:rPr>
          <w:sz w:val="22"/>
          <w:szCs w:val="22"/>
        </w:rPr>
        <w:t>R</w:t>
      </w:r>
      <w:r w:rsidR="00BC0C66">
        <w:rPr>
          <w:sz w:val="22"/>
          <w:szCs w:val="22"/>
        </w:rPr>
        <w:t xml:space="preserve">apid </w:t>
      </w:r>
      <w:r w:rsidRPr="001D07A5">
        <w:rPr>
          <w:sz w:val="22"/>
          <w:szCs w:val="22"/>
        </w:rPr>
        <w:t>T</w:t>
      </w:r>
      <w:r w:rsidR="00BC0C66">
        <w:rPr>
          <w:sz w:val="22"/>
          <w:szCs w:val="22"/>
        </w:rPr>
        <w:t>ransit</w:t>
      </w:r>
      <w:r w:rsidRPr="001D07A5">
        <w:rPr>
          <w:sz w:val="22"/>
          <w:szCs w:val="22"/>
        </w:rPr>
        <w:t xml:space="preserve"> system to connect VWO with surrounding employment and residential centers</w:t>
      </w:r>
      <w:r w:rsidRPr="00227F56">
        <w:rPr>
          <w:sz w:val="22"/>
          <w:szCs w:val="22"/>
        </w:rPr>
        <w:t xml:space="preserve">. These </w:t>
      </w:r>
      <w:r w:rsidR="00A67CB7" w:rsidRPr="00227F56">
        <w:rPr>
          <w:sz w:val="22"/>
          <w:szCs w:val="22"/>
        </w:rPr>
        <w:t>four corridors</w:t>
      </w:r>
      <w:r w:rsidRPr="00227F56">
        <w:rPr>
          <w:sz w:val="22"/>
          <w:szCs w:val="22"/>
        </w:rPr>
        <w:t xml:space="preserve"> would be: the e</w:t>
      </w:r>
      <w:r w:rsidRPr="001D07A5">
        <w:rPr>
          <w:sz w:val="22"/>
          <w:szCs w:val="22"/>
        </w:rPr>
        <w:t xml:space="preserve">xisting US29 </w:t>
      </w:r>
      <w:r w:rsidRPr="00227F56">
        <w:rPr>
          <w:sz w:val="22"/>
          <w:szCs w:val="22"/>
        </w:rPr>
        <w:t xml:space="preserve">BRT </w:t>
      </w:r>
      <w:r w:rsidRPr="001D07A5">
        <w:rPr>
          <w:sz w:val="22"/>
          <w:szCs w:val="22"/>
        </w:rPr>
        <w:t>(Blue)</w:t>
      </w:r>
      <w:r w:rsidRPr="00227F56">
        <w:rPr>
          <w:sz w:val="22"/>
          <w:szCs w:val="22"/>
        </w:rPr>
        <w:t>, a m</w:t>
      </w:r>
      <w:r w:rsidRPr="001D07A5">
        <w:rPr>
          <w:sz w:val="22"/>
          <w:szCs w:val="22"/>
        </w:rPr>
        <w:t xml:space="preserve">odified </w:t>
      </w:r>
      <w:r w:rsidRPr="00227F56">
        <w:rPr>
          <w:sz w:val="22"/>
          <w:szCs w:val="22"/>
        </w:rPr>
        <w:t>US 29 BRT (</w:t>
      </w:r>
      <w:r w:rsidRPr="001D07A5">
        <w:rPr>
          <w:sz w:val="22"/>
          <w:szCs w:val="22"/>
        </w:rPr>
        <w:t>Orange</w:t>
      </w:r>
      <w:r w:rsidRPr="00227F56">
        <w:rPr>
          <w:sz w:val="22"/>
          <w:szCs w:val="22"/>
        </w:rPr>
        <w:t>) route, the p</w:t>
      </w:r>
      <w:r w:rsidRPr="001D07A5">
        <w:rPr>
          <w:sz w:val="22"/>
          <w:szCs w:val="22"/>
        </w:rPr>
        <w:t>lanned Randolph Road BRT</w:t>
      </w:r>
      <w:r w:rsidRPr="00227F56">
        <w:rPr>
          <w:sz w:val="22"/>
          <w:szCs w:val="22"/>
        </w:rPr>
        <w:t>, and the p</w:t>
      </w:r>
      <w:r w:rsidRPr="001D07A5">
        <w:rPr>
          <w:sz w:val="22"/>
          <w:szCs w:val="22"/>
        </w:rPr>
        <w:t>lanned New Hampshire Avenue BRT</w:t>
      </w:r>
      <w:r w:rsidRPr="00227F56">
        <w:rPr>
          <w:sz w:val="22"/>
          <w:szCs w:val="22"/>
        </w:rPr>
        <w:t>.</w:t>
      </w:r>
      <w:r w:rsidRPr="001D07A5">
        <w:rPr>
          <w:sz w:val="22"/>
          <w:szCs w:val="22"/>
        </w:rPr>
        <w:t xml:space="preserve"> This network would serve key destinations including VWO’s residential and commercial areas, White Oak Medical Center, F</w:t>
      </w:r>
      <w:r w:rsidR="00842C48">
        <w:rPr>
          <w:sz w:val="22"/>
          <w:szCs w:val="22"/>
        </w:rPr>
        <w:t>oo</w:t>
      </w:r>
      <w:r w:rsidR="00D27A0A">
        <w:rPr>
          <w:sz w:val="22"/>
          <w:szCs w:val="22"/>
        </w:rPr>
        <w:t>d and</w:t>
      </w:r>
      <w:r w:rsidR="00842C48">
        <w:rPr>
          <w:sz w:val="22"/>
          <w:szCs w:val="22"/>
        </w:rPr>
        <w:t xml:space="preserve"> </w:t>
      </w:r>
      <w:r w:rsidRPr="001D07A5">
        <w:rPr>
          <w:sz w:val="22"/>
          <w:szCs w:val="22"/>
        </w:rPr>
        <w:t>D</w:t>
      </w:r>
      <w:r w:rsidR="00D27A0A">
        <w:rPr>
          <w:sz w:val="22"/>
          <w:szCs w:val="22"/>
        </w:rPr>
        <w:t xml:space="preserve">rug </w:t>
      </w:r>
      <w:r w:rsidRPr="001D07A5">
        <w:rPr>
          <w:sz w:val="22"/>
          <w:szCs w:val="22"/>
        </w:rPr>
        <w:t>A</w:t>
      </w:r>
      <w:r w:rsidR="00D27A0A">
        <w:rPr>
          <w:sz w:val="22"/>
          <w:szCs w:val="22"/>
        </w:rPr>
        <w:t>dministration</w:t>
      </w:r>
      <w:r w:rsidRPr="001D07A5">
        <w:rPr>
          <w:sz w:val="22"/>
          <w:szCs w:val="22"/>
        </w:rPr>
        <w:t xml:space="preserve">, Montgomery College, and </w:t>
      </w:r>
      <w:r w:rsidRPr="00227F56">
        <w:rPr>
          <w:sz w:val="22"/>
          <w:szCs w:val="22"/>
        </w:rPr>
        <w:t xml:space="preserve">key </w:t>
      </w:r>
      <w:r w:rsidRPr="001D07A5">
        <w:rPr>
          <w:sz w:val="22"/>
          <w:szCs w:val="22"/>
        </w:rPr>
        <w:t>employment centers along the lower Rt. 355 corridor</w:t>
      </w:r>
      <w:r w:rsidRPr="00227F56">
        <w:rPr>
          <w:sz w:val="22"/>
          <w:szCs w:val="22"/>
        </w:rPr>
        <w:t xml:space="preserve"> in the western part of the county</w:t>
      </w:r>
      <w:r w:rsidRPr="001D07A5">
        <w:rPr>
          <w:sz w:val="22"/>
          <w:szCs w:val="22"/>
        </w:rPr>
        <w:t>. ECCAB requests funding for</w:t>
      </w:r>
      <w:r w:rsidRPr="00227F56">
        <w:rPr>
          <w:sz w:val="22"/>
          <w:szCs w:val="22"/>
        </w:rPr>
        <w:t xml:space="preserve"> Montgomery County Department of Transportation</w:t>
      </w:r>
      <w:r w:rsidRPr="001D07A5">
        <w:rPr>
          <w:sz w:val="22"/>
          <w:szCs w:val="22"/>
        </w:rPr>
        <w:t xml:space="preserve"> </w:t>
      </w:r>
      <w:r w:rsidRPr="00227F56">
        <w:rPr>
          <w:sz w:val="22"/>
          <w:szCs w:val="22"/>
        </w:rPr>
        <w:t xml:space="preserve">to conduct </w:t>
      </w:r>
      <w:r w:rsidRPr="001D07A5">
        <w:rPr>
          <w:sz w:val="22"/>
          <w:szCs w:val="22"/>
        </w:rPr>
        <w:t>alternatives study to align with VWO’s development schedule.</w:t>
      </w:r>
    </w:p>
    <w:p w14:paraId="2DB200F2" w14:textId="77777777" w:rsidR="0027691C" w:rsidRDefault="0027691C" w:rsidP="0027691C">
      <w:pPr>
        <w:pStyle w:val="ListParagraph"/>
        <w:rPr>
          <w:sz w:val="22"/>
          <w:szCs w:val="22"/>
        </w:rPr>
      </w:pPr>
    </w:p>
    <w:p w14:paraId="5EAE589C" w14:textId="77777777" w:rsidR="00227F56" w:rsidRPr="00227F56" w:rsidRDefault="00227F56" w:rsidP="00227F56">
      <w:pPr>
        <w:numPr>
          <w:ilvl w:val="0"/>
          <w:numId w:val="13"/>
        </w:numPr>
        <w:jc w:val="both"/>
        <w:rPr>
          <w:sz w:val="22"/>
          <w:szCs w:val="22"/>
        </w:rPr>
      </w:pPr>
      <w:r w:rsidRPr="00227F56">
        <w:rPr>
          <w:sz w:val="22"/>
          <w:szCs w:val="22"/>
        </w:rPr>
        <w:t xml:space="preserve">We propose additional turn lanes at Cherry Hill Road and Broadbirch Drive </w:t>
      </w:r>
      <w:proofErr w:type="gramStart"/>
      <w:r w:rsidRPr="00227F56">
        <w:rPr>
          <w:sz w:val="22"/>
          <w:szCs w:val="22"/>
        </w:rPr>
        <w:t>and also</w:t>
      </w:r>
      <w:proofErr w:type="gramEnd"/>
      <w:r w:rsidRPr="00227F56">
        <w:rPr>
          <w:sz w:val="22"/>
          <w:szCs w:val="22"/>
        </w:rPr>
        <w:t xml:space="preserve"> at the Cherry Hill Road and Calverton Blvd intersections </w:t>
      </w:r>
      <w:r w:rsidRPr="001D07A5">
        <w:rPr>
          <w:sz w:val="22"/>
          <w:szCs w:val="22"/>
        </w:rPr>
        <w:t>coordinated with Cherry Hill Bikeway construction to minimize disruption and cost.</w:t>
      </w:r>
    </w:p>
    <w:p w14:paraId="618A3894" w14:textId="77777777" w:rsidR="00227F56" w:rsidRDefault="00227F56" w:rsidP="00227F56">
      <w:pPr>
        <w:numPr>
          <w:ilvl w:val="0"/>
          <w:numId w:val="13"/>
        </w:numPr>
        <w:jc w:val="both"/>
        <w:rPr>
          <w:sz w:val="22"/>
          <w:szCs w:val="22"/>
        </w:rPr>
      </w:pPr>
      <w:r w:rsidRPr="00227F56">
        <w:rPr>
          <w:sz w:val="22"/>
          <w:szCs w:val="22"/>
        </w:rPr>
        <w:lastRenderedPageBreak/>
        <w:t>Treat the intersections at US 29-Industrial Blvd-Old Columbia Pike and those at Old Columbia Pike-US29-Tech Road-Prosperity Drive as integrated nexus points that need to be considered as unified intersection entities within themselves.</w:t>
      </w:r>
    </w:p>
    <w:p w14:paraId="2EEBC8E3" w14:textId="77777777" w:rsidR="0027691C" w:rsidRPr="00227F56" w:rsidRDefault="0027691C" w:rsidP="0027691C">
      <w:pPr>
        <w:jc w:val="both"/>
        <w:rPr>
          <w:sz w:val="22"/>
          <w:szCs w:val="22"/>
        </w:rPr>
      </w:pPr>
    </w:p>
    <w:p w14:paraId="0EA972CA" w14:textId="77777777" w:rsidR="00227F56" w:rsidRDefault="00227F56" w:rsidP="00227F56">
      <w:pPr>
        <w:numPr>
          <w:ilvl w:val="0"/>
          <w:numId w:val="13"/>
        </w:numPr>
        <w:jc w:val="both"/>
        <w:rPr>
          <w:sz w:val="22"/>
          <w:szCs w:val="22"/>
        </w:rPr>
      </w:pPr>
      <w:r w:rsidRPr="00227F56">
        <w:rPr>
          <w:sz w:val="22"/>
          <w:szCs w:val="22"/>
        </w:rPr>
        <w:t>Treat the intersections at US 29-Industrial Blvd-Old Columbia Pike and those at Old Columbia Pike-US29-Tech Road-Prosperity Drive as integrated nexus points that need to be considered as unified intersection entities within themselves.</w:t>
      </w:r>
    </w:p>
    <w:p w14:paraId="3656FBD8" w14:textId="77777777" w:rsidR="0027691C" w:rsidRDefault="0027691C" w:rsidP="0027691C">
      <w:pPr>
        <w:pStyle w:val="ListParagraph"/>
        <w:rPr>
          <w:sz w:val="22"/>
          <w:szCs w:val="22"/>
        </w:rPr>
      </w:pPr>
    </w:p>
    <w:p w14:paraId="15A56DE0" w14:textId="77777777" w:rsidR="00227F56" w:rsidRPr="00227F56" w:rsidRDefault="00227F56" w:rsidP="00227F56">
      <w:pPr>
        <w:pStyle w:val="ListParagraph"/>
        <w:numPr>
          <w:ilvl w:val="0"/>
          <w:numId w:val="13"/>
        </w:numPr>
        <w:contextualSpacing/>
        <w:jc w:val="both"/>
        <w:rPr>
          <w:sz w:val="22"/>
          <w:szCs w:val="22"/>
        </w:rPr>
      </w:pPr>
      <w:r w:rsidRPr="00227F56">
        <w:rPr>
          <w:sz w:val="22"/>
          <w:szCs w:val="22"/>
        </w:rPr>
        <w:t>Design Industrial Parkway enhancements to align physically with the internal road design of the road to be built from FDA Blvd to Industrial Parkway for a seamless roadway design</w:t>
      </w:r>
    </w:p>
    <w:p w14:paraId="0674F096" w14:textId="77777777" w:rsidR="00227F56" w:rsidRPr="00227F56" w:rsidRDefault="00227F56" w:rsidP="00227F56">
      <w:pPr>
        <w:jc w:val="both"/>
        <w:rPr>
          <w:b/>
          <w:bCs/>
          <w:sz w:val="22"/>
          <w:szCs w:val="22"/>
        </w:rPr>
      </w:pPr>
    </w:p>
    <w:p w14:paraId="4F3E6589" w14:textId="77777777" w:rsidR="00227F56" w:rsidRPr="001D07A5" w:rsidRDefault="00227F56" w:rsidP="00227F56">
      <w:pPr>
        <w:jc w:val="both"/>
        <w:rPr>
          <w:sz w:val="22"/>
          <w:szCs w:val="22"/>
        </w:rPr>
      </w:pPr>
      <w:r w:rsidRPr="00227F56">
        <w:rPr>
          <w:sz w:val="22"/>
          <w:szCs w:val="22"/>
        </w:rPr>
        <w:t xml:space="preserve">In conclusion, </w:t>
      </w:r>
      <w:r w:rsidRPr="001D07A5">
        <w:rPr>
          <w:sz w:val="22"/>
          <w:szCs w:val="22"/>
        </w:rPr>
        <w:t>ECCAB believes these recommendations will ensure that VWO’s infrastructure is equipped to support its projected growth and regional significance.</w:t>
      </w:r>
      <w:r w:rsidRPr="00227F56">
        <w:rPr>
          <w:sz w:val="22"/>
          <w:szCs w:val="22"/>
        </w:rPr>
        <w:t xml:space="preserve"> </w:t>
      </w:r>
      <w:r w:rsidRPr="001D07A5">
        <w:rPr>
          <w:sz w:val="22"/>
          <w:szCs w:val="22"/>
        </w:rPr>
        <w:t>We appreciate the Planning Board’s continued leadership and look forward to collaborative progress on this vital East County initiative.</w:t>
      </w:r>
    </w:p>
    <w:p w14:paraId="27CA17B5" w14:textId="77777777" w:rsidR="00227F56" w:rsidRPr="00227F56" w:rsidRDefault="00227F56" w:rsidP="00227F56">
      <w:pPr>
        <w:jc w:val="both"/>
        <w:rPr>
          <w:sz w:val="22"/>
          <w:szCs w:val="22"/>
        </w:rPr>
      </w:pPr>
    </w:p>
    <w:p w14:paraId="6A58CEB5" w14:textId="77777777" w:rsidR="0027691C" w:rsidRDefault="0027691C" w:rsidP="007E5D36">
      <w:pPr>
        <w:rPr>
          <w:rFonts w:ascii="Book Antiqua" w:hAnsi="Book Antiqua" w:cs="Helvetica"/>
          <w:color w:val="000000"/>
        </w:rPr>
      </w:pPr>
    </w:p>
    <w:p w14:paraId="2C48EB0B" w14:textId="77777777" w:rsidR="0027691C" w:rsidRDefault="0027691C" w:rsidP="007E5D36">
      <w:pPr>
        <w:rPr>
          <w:rFonts w:ascii="Book Antiqua" w:hAnsi="Book Antiqua" w:cs="Helvetica"/>
          <w:color w:val="000000"/>
        </w:rPr>
      </w:pPr>
    </w:p>
    <w:p w14:paraId="3625A38A" w14:textId="6BFEE29F" w:rsidR="00F8472C" w:rsidRPr="009B470C" w:rsidRDefault="00F8472C" w:rsidP="007E5D36">
      <w:pPr>
        <w:rPr>
          <w:color w:val="000000"/>
          <w:sz w:val="22"/>
          <w:szCs w:val="22"/>
        </w:rPr>
      </w:pPr>
      <w:r w:rsidRPr="009B470C">
        <w:rPr>
          <w:color w:val="000000"/>
          <w:sz w:val="22"/>
          <w:szCs w:val="22"/>
        </w:rPr>
        <w:t>Sincerely,</w:t>
      </w:r>
    </w:p>
    <w:p w14:paraId="5CFFB155" w14:textId="13E77138" w:rsidR="00F8472C" w:rsidRPr="009B470C" w:rsidRDefault="00F8472C" w:rsidP="007E5D36">
      <w:pPr>
        <w:rPr>
          <w:color w:val="000000"/>
          <w:sz w:val="22"/>
          <w:szCs w:val="22"/>
        </w:rPr>
      </w:pPr>
      <w:r w:rsidRPr="009B470C">
        <w:rPr>
          <w:noProof/>
          <w:color w:val="000000"/>
          <w:sz w:val="22"/>
          <w:szCs w:val="22"/>
        </w:rPr>
        <w:drawing>
          <wp:inline distT="0" distB="0" distL="0" distR="0" wp14:anchorId="3AB30955" wp14:editId="0179E0E4">
            <wp:extent cx="1152525" cy="533400"/>
            <wp:effectExtent l="19050" t="0" r="9525" b="0"/>
            <wp:docPr id="16" name="Picture 1" descr="C:\Documents and Settings\bandej01\Desktop\PMK Signature 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ndej01\Desktop\PMK Signature Scan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42FFAA" w14:textId="30EF36A7" w:rsidR="00F8472C" w:rsidRPr="009B470C" w:rsidRDefault="00F8472C" w:rsidP="007E5D36">
      <w:pPr>
        <w:rPr>
          <w:color w:val="000000"/>
          <w:sz w:val="22"/>
          <w:szCs w:val="22"/>
        </w:rPr>
      </w:pPr>
      <w:r w:rsidRPr="009B470C">
        <w:rPr>
          <w:color w:val="000000"/>
          <w:sz w:val="22"/>
          <w:szCs w:val="22"/>
        </w:rPr>
        <w:t>Peter Myo Khin</w:t>
      </w:r>
    </w:p>
    <w:p w14:paraId="1D570B48" w14:textId="67EBF1BB" w:rsidR="00F8472C" w:rsidRPr="009B470C" w:rsidRDefault="00F8472C" w:rsidP="007E5D36">
      <w:pPr>
        <w:rPr>
          <w:color w:val="000000"/>
          <w:sz w:val="22"/>
          <w:szCs w:val="22"/>
        </w:rPr>
      </w:pPr>
      <w:r w:rsidRPr="009B470C">
        <w:rPr>
          <w:color w:val="000000"/>
          <w:sz w:val="22"/>
          <w:szCs w:val="22"/>
        </w:rPr>
        <w:t>Chair, East County Citizens Advisory Board</w:t>
      </w:r>
    </w:p>
    <w:p w14:paraId="2F587990" w14:textId="77777777" w:rsidR="00F8472C" w:rsidRPr="009F69EA" w:rsidRDefault="00F8472C" w:rsidP="00F8472C">
      <w:pPr>
        <w:rPr>
          <w:rFonts w:ascii="Book Antiqua" w:hAnsi="Book Antiqua" w:cs="Helvetica"/>
          <w:sz w:val="20"/>
          <w:szCs w:val="20"/>
        </w:rPr>
      </w:pPr>
    </w:p>
    <w:p w14:paraId="2E936274" w14:textId="232110E6" w:rsidR="00F8472C" w:rsidRPr="009F69EA" w:rsidRDefault="00F8472C" w:rsidP="00F8472C">
      <w:pPr>
        <w:rPr>
          <w:rFonts w:ascii="Book Antiqua" w:hAnsi="Book Antiqua" w:cs="Helvetica"/>
          <w:color w:val="000000"/>
          <w:sz w:val="20"/>
          <w:szCs w:val="20"/>
        </w:rPr>
      </w:pPr>
      <w:r w:rsidRPr="009F69EA">
        <w:rPr>
          <w:rFonts w:ascii="Book Antiqua" w:hAnsi="Book Antiqua" w:cs="Helvetica"/>
          <w:color w:val="000000"/>
          <w:sz w:val="20"/>
          <w:szCs w:val="20"/>
        </w:rPr>
        <w:tab/>
      </w:r>
      <w:r w:rsidRPr="009F69EA">
        <w:rPr>
          <w:rFonts w:ascii="Book Antiqua" w:hAnsi="Book Antiqua" w:cs="Helvetica"/>
          <w:color w:val="000000"/>
          <w:sz w:val="20"/>
          <w:szCs w:val="20"/>
        </w:rPr>
        <w:tab/>
      </w:r>
      <w:r w:rsidRPr="009F69EA">
        <w:rPr>
          <w:rFonts w:ascii="Book Antiqua" w:hAnsi="Book Antiqua" w:cs="Helvetica"/>
          <w:color w:val="000000"/>
          <w:sz w:val="20"/>
          <w:szCs w:val="20"/>
        </w:rPr>
        <w:tab/>
      </w:r>
      <w:r w:rsidRPr="009F69EA">
        <w:rPr>
          <w:rFonts w:ascii="Book Antiqua" w:hAnsi="Book Antiqua" w:cs="Helvetica"/>
          <w:color w:val="000000"/>
          <w:sz w:val="20"/>
          <w:szCs w:val="20"/>
        </w:rPr>
        <w:tab/>
      </w:r>
      <w:r w:rsidRPr="009F69EA">
        <w:rPr>
          <w:rFonts w:ascii="Book Antiqua" w:hAnsi="Book Antiqua" w:cs="Helvetica"/>
          <w:color w:val="000000"/>
          <w:sz w:val="20"/>
          <w:szCs w:val="20"/>
        </w:rPr>
        <w:tab/>
      </w:r>
    </w:p>
    <w:p w14:paraId="5DD05A51" w14:textId="514AF84E" w:rsidR="00956DF0" w:rsidRDefault="00F8472C" w:rsidP="00956DF0">
      <w:pPr>
        <w:ind w:left="360"/>
        <w:rPr>
          <w:rFonts w:ascii="Book Antiqua" w:hAnsi="Book Antiqua" w:cs="Helvetica"/>
          <w:color w:val="000000"/>
          <w:sz w:val="20"/>
          <w:szCs w:val="20"/>
        </w:rPr>
      </w:pPr>
      <w:r w:rsidRPr="009F69EA">
        <w:rPr>
          <w:rFonts w:ascii="Book Antiqua" w:hAnsi="Book Antiqua" w:cs="Helvetica"/>
          <w:color w:val="000000"/>
          <w:sz w:val="20"/>
          <w:szCs w:val="20"/>
        </w:rPr>
        <w:t xml:space="preserve">Cc: </w:t>
      </w:r>
      <w:r w:rsidR="007154EC">
        <w:rPr>
          <w:rFonts w:ascii="Book Antiqua" w:hAnsi="Book Antiqua" w:cs="Helvetica"/>
          <w:color w:val="000000"/>
          <w:sz w:val="20"/>
          <w:szCs w:val="20"/>
        </w:rPr>
        <w:t xml:space="preserve">Montgomery County </w:t>
      </w:r>
      <w:r w:rsidR="00956DF0">
        <w:rPr>
          <w:rFonts w:ascii="Book Antiqua" w:hAnsi="Book Antiqua" w:cs="Helvetica"/>
          <w:color w:val="000000"/>
          <w:sz w:val="20"/>
          <w:szCs w:val="20"/>
        </w:rPr>
        <w:t>Planning Board Chair, Artie Harrs,</w:t>
      </w:r>
    </w:p>
    <w:p w14:paraId="6734BED3" w14:textId="24C6C21B" w:rsidR="00F8472C" w:rsidRPr="009F69EA" w:rsidRDefault="00956DF0" w:rsidP="00956DF0">
      <w:pPr>
        <w:ind w:left="360"/>
        <w:rPr>
          <w:rFonts w:ascii="Book Antiqua" w:hAnsi="Book Antiqua" w:cs="Helvetica"/>
          <w:color w:val="000000"/>
          <w:sz w:val="20"/>
          <w:szCs w:val="20"/>
        </w:rPr>
      </w:pPr>
      <w:r>
        <w:rPr>
          <w:rFonts w:ascii="Book Antiqua" w:hAnsi="Book Antiqua" w:cs="Helvetica"/>
          <w:color w:val="000000"/>
          <w:sz w:val="20"/>
          <w:szCs w:val="20"/>
        </w:rPr>
        <w:t>Kat</w:t>
      </w:r>
      <w:r w:rsidR="000E3638">
        <w:rPr>
          <w:rFonts w:ascii="Book Antiqua" w:hAnsi="Book Antiqua" w:cs="Helvetica"/>
          <w:color w:val="000000"/>
          <w:sz w:val="20"/>
          <w:szCs w:val="20"/>
        </w:rPr>
        <w:t>e</w:t>
      </w:r>
      <w:r>
        <w:rPr>
          <w:rFonts w:ascii="Book Antiqua" w:hAnsi="Book Antiqua" w:cs="Helvetica"/>
          <w:color w:val="000000"/>
          <w:sz w:val="20"/>
          <w:szCs w:val="20"/>
        </w:rPr>
        <w:t xml:space="preserve"> St</w:t>
      </w:r>
      <w:r w:rsidR="000E3638">
        <w:rPr>
          <w:rFonts w:ascii="Book Antiqua" w:hAnsi="Book Antiqua" w:cs="Helvetica"/>
          <w:color w:val="000000"/>
          <w:sz w:val="20"/>
          <w:szCs w:val="20"/>
        </w:rPr>
        <w:t>ewart</w:t>
      </w:r>
      <w:r w:rsidR="00E572E3" w:rsidRPr="009F69EA">
        <w:rPr>
          <w:rFonts w:ascii="Book Antiqua" w:hAnsi="Book Antiqua" w:cs="Helvetica"/>
          <w:color w:val="000000"/>
          <w:sz w:val="20"/>
          <w:szCs w:val="20"/>
        </w:rPr>
        <w:t xml:space="preserve">, </w:t>
      </w:r>
      <w:r w:rsidR="00F8472C" w:rsidRPr="009F69EA">
        <w:rPr>
          <w:rFonts w:ascii="Book Antiqua" w:hAnsi="Book Antiqua" w:cs="Helvetica"/>
          <w:color w:val="000000"/>
          <w:sz w:val="20"/>
          <w:szCs w:val="20"/>
        </w:rPr>
        <w:t xml:space="preserve">County </w:t>
      </w:r>
      <w:r w:rsidR="00E572E3" w:rsidRPr="009F69EA">
        <w:rPr>
          <w:rFonts w:ascii="Book Antiqua" w:hAnsi="Book Antiqua" w:cs="Helvetica"/>
          <w:color w:val="000000"/>
          <w:sz w:val="20"/>
          <w:szCs w:val="20"/>
        </w:rPr>
        <w:t>Council President</w:t>
      </w:r>
      <w:r w:rsidR="005117A1">
        <w:rPr>
          <w:rFonts w:ascii="Book Antiqua" w:hAnsi="Book Antiqua" w:cs="Helvetica"/>
          <w:color w:val="000000"/>
          <w:sz w:val="20"/>
          <w:szCs w:val="20"/>
        </w:rPr>
        <w:t>/Councilmembers</w:t>
      </w:r>
    </w:p>
    <w:p w14:paraId="037B0F25" w14:textId="77777777" w:rsidR="00E572E3" w:rsidRPr="009F69EA" w:rsidRDefault="00F8472C" w:rsidP="00945E7B">
      <w:pPr>
        <w:rPr>
          <w:rFonts w:ascii="Book Antiqua" w:hAnsi="Book Antiqua" w:cs="Helvetica"/>
          <w:color w:val="000000"/>
          <w:sz w:val="20"/>
          <w:szCs w:val="20"/>
        </w:rPr>
      </w:pPr>
      <w:r w:rsidRPr="009F69EA">
        <w:rPr>
          <w:rFonts w:ascii="Book Antiqua" w:hAnsi="Book Antiqua" w:cs="Helvetica"/>
          <w:color w:val="000000"/>
          <w:sz w:val="20"/>
          <w:szCs w:val="20"/>
        </w:rPr>
        <w:t xml:space="preserve">       </w:t>
      </w:r>
      <w:r w:rsidR="00E572E3" w:rsidRPr="009F69EA">
        <w:rPr>
          <w:rFonts w:ascii="Book Antiqua" w:hAnsi="Book Antiqua" w:cs="Helvetica"/>
          <w:color w:val="000000"/>
          <w:sz w:val="20"/>
          <w:szCs w:val="20"/>
        </w:rPr>
        <w:t xml:space="preserve">D5 </w:t>
      </w:r>
      <w:r w:rsidR="00945E7B" w:rsidRPr="009F69EA">
        <w:rPr>
          <w:rFonts w:ascii="Book Antiqua" w:hAnsi="Book Antiqua" w:cs="Helvetica"/>
          <w:color w:val="000000"/>
          <w:sz w:val="20"/>
          <w:szCs w:val="20"/>
        </w:rPr>
        <w:t>County Council Member</w:t>
      </w:r>
      <w:r w:rsidR="00E572E3" w:rsidRPr="009F69EA">
        <w:rPr>
          <w:rFonts w:ascii="Book Antiqua" w:hAnsi="Book Antiqua" w:cs="Helvetica"/>
          <w:color w:val="000000"/>
          <w:sz w:val="20"/>
          <w:szCs w:val="20"/>
        </w:rPr>
        <w:t xml:space="preserve"> Kristin Mink</w:t>
      </w:r>
      <w:r w:rsidR="00945E7B" w:rsidRPr="009F69EA">
        <w:rPr>
          <w:rFonts w:ascii="Book Antiqua" w:hAnsi="Book Antiqua" w:cs="Helvetica"/>
          <w:color w:val="000000"/>
          <w:sz w:val="20"/>
          <w:szCs w:val="20"/>
        </w:rPr>
        <w:t xml:space="preserve">     </w:t>
      </w:r>
    </w:p>
    <w:p w14:paraId="52920DBB" w14:textId="44FC6FC1" w:rsidR="00945E7B" w:rsidRDefault="00E572E3" w:rsidP="005117A1">
      <w:pPr>
        <w:rPr>
          <w:rFonts w:ascii="Book Antiqua" w:hAnsi="Book Antiqua" w:cs="Helvetica"/>
          <w:color w:val="000000"/>
          <w:sz w:val="20"/>
          <w:szCs w:val="20"/>
        </w:rPr>
      </w:pPr>
      <w:r w:rsidRPr="009F69EA">
        <w:rPr>
          <w:rFonts w:ascii="Book Antiqua" w:hAnsi="Book Antiqua" w:cs="Helvetica"/>
          <w:color w:val="000000"/>
          <w:sz w:val="20"/>
          <w:szCs w:val="20"/>
        </w:rPr>
        <w:t xml:space="preserve">       </w:t>
      </w:r>
      <w:r w:rsidR="00945E7B" w:rsidRPr="009F69EA">
        <w:rPr>
          <w:rFonts w:ascii="Book Antiqua" w:hAnsi="Book Antiqua" w:cs="Helvetica"/>
          <w:color w:val="000000"/>
          <w:sz w:val="20"/>
          <w:szCs w:val="20"/>
        </w:rPr>
        <w:t>Jewru Bandeh, Director, ECRS</w:t>
      </w:r>
      <w:r w:rsidR="007113D3">
        <w:rPr>
          <w:rFonts w:ascii="Book Antiqua" w:hAnsi="Book Antiqua" w:cs="Helvetica"/>
          <w:color w:val="000000"/>
          <w:sz w:val="20"/>
          <w:szCs w:val="20"/>
        </w:rPr>
        <w:t xml:space="preserve"> Office</w:t>
      </w:r>
    </w:p>
    <w:p w14:paraId="75A853BB" w14:textId="2CE43D7A" w:rsidR="005117A1" w:rsidRPr="009F69EA" w:rsidRDefault="001B2D95" w:rsidP="005117A1">
      <w:pPr>
        <w:rPr>
          <w:rFonts w:ascii="Book Antiqua" w:hAnsi="Book Antiqua" w:cs="Helvetica"/>
          <w:color w:val="000000"/>
          <w:sz w:val="20"/>
          <w:szCs w:val="20"/>
        </w:rPr>
      </w:pPr>
      <w:r>
        <w:rPr>
          <w:rFonts w:ascii="Book Antiqua" w:hAnsi="Book Antiqua" w:cs="Helvetica"/>
          <w:color w:val="000000"/>
          <w:sz w:val="20"/>
          <w:szCs w:val="20"/>
        </w:rPr>
        <w:t xml:space="preserve">       Chris Conklin, Director, MCDOT</w:t>
      </w:r>
    </w:p>
    <w:p w14:paraId="4363E671" w14:textId="046DD373" w:rsidR="006E4AD8" w:rsidRPr="009F69EA" w:rsidRDefault="006E4AD8" w:rsidP="00945E7B">
      <w:pPr>
        <w:rPr>
          <w:rFonts w:ascii="Book Antiqua" w:hAnsi="Book Antiqua" w:cs="Helvetica"/>
          <w:color w:val="000000"/>
          <w:sz w:val="20"/>
          <w:szCs w:val="20"/>
        </w:rPr>
      </w:pPr>
      <w:r w:rsidRPr="009F69EA">
        <w:rPr>
          <w:rFonts w:ascii="Book Antiqua" w:hAnsi="Book Antiqua" w:cs="Helvetica"/>
          <w:color w:val="000000"/>
          <w:sz w:val="20"/>
          <w:szCs w:val="20"/>
        </w:rPr>
        <w:t xml:space="preserve">       </w:t>
      </w:r>
    </w:p>
    <w:p w14:paraId="4825B2D9" w14:textId="77777777" w:rsidR="00427EDA" w:rsidRPr="009F69EA" w:rsidRDefault="00427EDA" w:rsidP="00427EDA">
      <w:pPr>
        <w:rPr>
          <w:rFonts w:ascii="Book Antiqua" w:hAnsi="Book Antiqua" w:cs="Helvetica"/>
          <w:color w:val="000000"/>
        </w:rPr>
      </w:pPr>
    </w:p>
    <w:p w14:paraId="7E95A048" w14:textId="68EFA013" w:rsidR="00427EDA" w:rsidRPr="009F69EA" w:rsidRDefault="00427EDA" w:rsidP="00427EDA">
      <w:pPr>
        <w:rPr>
          <w:rFonts w:ascii="Book Antiqua" w:hAnsi="Book Antiqua"/>
          <w:color w:val="000000"/>
        </w:rPr>
      </w:pPr>
      <w:r w:rsidRPr="009F69EA">
        <w:rPr>
          <w:rFonts w:ascii="Book Antiqua" w:hAnsi="Book Antiqua"/>
          <w:color w:val="000000"/>
        </w:rPr>
        <w:br/>
      </w:r>
    </w:p>
    <w:p w14:paraId="4D32EE08" w14:textId="77777777" w:rsidR="00FE4836" w:rsidRPr="009F69EA" w:rsidRDefault="00FE4836" w:rsidP="003D479E">
      <w:pPr>
        <w:rPr>
          <w:rFonts w:ascii="Book Antiqua" w:hAnsi="Book Antiqua"/>
        </w:rPr>
      </w:pPr>
    </w:p>
    <w:sectPr w:rsidR="00FE4836" w:rsidRPr="009F69EA" w:rsidSect="00A67D0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E3DE" w14:textId="77777777" w:rsidR="00752BDF" w:rsidRDefault="00752BDF" w:rsidP="00D707C7">
      <w:r>
        <w:separator/>
      </w:r>
    </w:p>
  </w:endnote>
  <w:endnote w:type="continuationSeparator" w:id="0">
    <w:p w14:paraId="00B0AF1F" w14:textId="77777777" w:rsidR="00752BDF" w:rsidRDefault="00752BDF" w:rsidP="00D7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CDCC" w14:textId="77777777" w:rsidR="00752BDF" w:rsidRDefault="00752BDF" w:rsidP="00D707C7">
      <w:r>
        <w:separator/>
      </w:r>
    </w:p>
  </w:footnote>
  <w:footnote w:type="continuationSeparator" w:id="0">
    <w:p w14:paraId="122780F3" w14:textId="77777777" w:rsidR="00752BDF" w:rsidRDefault="00752BDF" w:rsidP="00D70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21EB"/>
    <w:multiLevelType w:val="hybridMultilevel"/>
    <w:tmpl w:val="5E22CA4A"/>
    <w:lvl w:ilvl="0" w:tplc="94CE3800">
      <w:numFmt w:val="bullet"/>
      <w:lvlText w:val=""/>
      <w:lvlJc w:val="left"/>
      <w:pPr>
        <w:ind w:left="560" w:hanging="560"/>
      </w:pPr>
      <w:rPr>
        <w:rFonts w:ascii="Symbol" w:eastAsia="Calibri" w:hAnsi="Symbol" w:cs="Helvetic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35A12"/>
    <w:multiLevelType w:val="hybridMultilevel"/>
    <w:tmpl w:val="6358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94659"/>
    <w:multiLevelType w:val="hybridMultilevel"/>
    <w:tmpl w:val="F4CA7848"/>
    <w:lvl w:ilvl="0" w:tplc="94CE3800">
      <w:numFmt w:val="bullet"/>
      <w:lvlText w:val=""/>
      <w:lvlJc w:val="left"/>
      <w:pPr>
        <w:ind w:left="560" w:hanging="560"/>
      </w:pPr>
      <w:rPr>
        <w:rFonts w:ascii="Symbol" w:eastAsia="Calibri" w:hAnsi="Symbol" w:cs="Helvetic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9783B"/>
    <w:multiLevelType w:val="hybridMultilevel"/>
    <w:tmpl w:val="54B880E2"/>
    <w:lvl w:ilvl="0" w:tplc="198C509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F6CBF"/>
    <w:multiLevelType w:val="hybridMultilevel"/>
    <w:tmpl w:val="AA50296A"/>
    <w:lvl w:ilvl="0" w:tplc="94CE3800">
      <w:numFmt w:val="bullet"/>
      <w:lvlText w:val=""/>
      <w:lvlJc w:val="left"/>
      <w:pPr>
        <w:ind w:left="560" w:hanging="560"/>
      </w:pPr>
      <w:rPr>
        <w:rFonts w:ascii="Symbol" w:eastAsia="Calibri" w:hAnsi="Symbol" w:cs="Helvetic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371DCD"/>
    <w:multiLevelType w:val="hybridMultilevel"/>
    <w:tmpl w:val="F99A2EAC"/>
    <w:lvl w:ilvl="0" w:tplc="94CE3800">
      <w:numFmt w:val="bullet"/>
      <w:lvlText w:val=""/>
      <w:lvlJc w:val="left"/>
      <w:pPr>
        <w:ind w:left="560" w:hanging="560"/>
      </w:pPr>
      <w:rPr>
        <w:rFonts w:ascii="Symbol" w:eastAsia="Calibr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91AC1"/>
    <w:multiLevelType w:val="hybridMultilevel"/>
    <w:tmpl w:val="7E24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A6FC0"/>
    <w:multiLevelType w:val="hybridMultilevel"/>
    <w:tmpl w:val="836C2D2A"/>
    <w:lvl w:ilvl="0" w:tplc="94CE3800">
      <w:numFmt w:val="bullet"/>
      <w:lvlText w:val=""/>
      <w:lvlJc w:val="left"/>
      <w:pPr>
        <w:ind w:left="560" w:hanging="560"/>
      </w:pPr>
      <w:rPr>
        <w:rFonts w:ascii="Symbol" w:eastAsia="Calibri" w:hAnsi="Symbol" w:cs="Helvetic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176228"/>
    <w:multiLevelType w:val="hybridMultilevel"/>
    <w:tmpl w:val="B9CEB238"/>
    <w:lvl w:ilvl="0" w:tplc="94CE3800">
      <w:numFmt w:val="bullet"/>
      <w:lvlText w:val=""/>
      <w:lvlJc w:val="left"/>
      <w:pPr>
        <w:ind w:left="560" w:hanging="560"/>
      </w:pPr>
      <w:rPr>
        <w:rFonts w:ascii="Symbol" w:eastAsia="Calibri" w:hAnsi="Symbol" w:cs="Helvetic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B26551"/>
    <w:multiLevelType w:val="multilevel"/>
    <w:tmpl w:val="37C4D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D22F7C"/>
    <w:multiLevelType w:val="hybridMultilevel"/>
    <w:tmpl w:val="B644E8E0"/>
    <w:lvl w:ilvl="0" w:tplc="94CE3800">
      <w:numFmt w:val="bullet"/>
      <w:lvlText w:val=""/>
      <w:lvlJc w:val="left"/>
      <w:pPr>
        <w:ind w:left="560" w:hanging="560"/>
      </w:pPr>
      <w:rPr>
        <w:rFonts w:ascii="Symbol" w:eastAsia="Calibri" w:hAnsi="Symbol" w:cs="Helvetic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4A281E"/>
    <w:multiLevelType w:val="hybridMultilevel"/>
    <w:tmpl w:val="7A3CF684"/>
    <w:lvl w:ilvl="0" w:tplc="94CE3800">
      <w:numFmt w:val="bullet"/>
      <w:lvlText w:val=""/>
      <w:lvlJc w:val="left"/>
      <w:pPr>
        <w:ind w:left="560" w:hanging="560"/>
      </w:pPr>
      <w:rPr>
        <w:rFonts w:ascii="Symbol" w:eastAsia="Calibr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688333">
    <w:abstractNumId w:val="3"/>
  </w:num>
  <w:num w:numId="2" w16cid:durableId="1584879458">
    <w:abstractNumId w:val="8"/>
  </w:num>
  <w:num w:numId="3" w16cid:durableId="762646812">
    <w:abstractNumId w:val="2"/>
  </w:num>
  <w:num w:numId="4" w16cid:durableId="140999166">
    <w:abstractNumId w:val="0"/>
  </w:num>
  <w:num w:numId="5" w16cid:durableId="649791534">
    <w:abstractNumId w:val="10"/>
  </w:num>
  <w:num w:numId="6" w16cid:durableId="448276475">
    <w:abstractNumId w:val="7"/>
  </w:num>
  <w:num w:numId="7" w16cid:durableId="2026667457">
    <w:abstractNumId w:val="4"/>
  </w:num>
  <w:num w:numId="8" w16cid:durableId="1233928773">
    <w:abstractNumId w:val="1"/>
  </w:num>
  <w:num w:numId="9" w16cid:durableId="691222863">
    <w:abstractNumId w:val="5"/>
  </w:num>
  <w:num w:numId="10" w16cid:durableId="2111855601">
    <w:abstractNumId w:val="11"/>
  </w:num>
  <w:num w:numId="11" w16cid:durableId="372459953">
    <w:abstractNumId w:val="0"/>
  </w:num>
  <w:num w:numId="12" w16cid:durableId="667371693">
    <w:abstractNumId w:val="6"/>
  </w:num>
  <w:num w:numId="13" w16cid:durableId="1294485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DA"/>
    <w:rsid w:val="00020CBB"/>
    <w:rsid w:val="000212FA"/>
    <w:rsid w:val="00030657"/>
    <w:rsid w:val="00030ABC"/>
    <w:rsid w:val="0003195C"/>
    <w:rsid w:val="000468B9"/>
    <w:rsid w:val="00053D34"/>
    <w:rsid w:val="00073FAA"/>
    <w:rsid w:val="000841B8"/>
    <w:rsid w:val="000A59BD"/>
    <w:rsid w:val="000C2230"/>
    <w:rsid w:val="000D0C30"/>
    <w:rsid w:val="000D7B91"/>
    <w:rsid w:val="000E3638"/>
    <w:rsid w:val="000E79D9"/>
    <w:rsid w:val="0010194A"/>
    <w:rsid w:val="00105A6A"/>
    <w:rsid w:val="00106D45"/>
    <w:rsid w:val="00115205"/>
    <w:rsid w:val="00120009"/>
    <w:rsid w:val="001332AD"/>
    <w:rsid w:val="00136499"/>
    <w:rsid w:val="00142F58"/>
    <w:rsid w:val="001560B5"/>
    <w:rsid w:val="00156A51"/>
    <w:rsid w:val="00171522"/>
    <w:rsid w:val="00187D8B"/>
    <w:rsid w:val="001A4441"/>
    <w:rsid w:val="001B2D95"/>
    <w:rsid w:val="001C5043"/>
    <w:rsid w:val="001D42DB"/>
    <w:rsid w:val="001D5899"/>
    <w:rsid w:val="001E618D"/>
    <w:rsid w:val="001E63DF"/>
    <w:rsid w:val="00214CF3"/>
    <w:rsid w:val="00227F56"/>
    <w:rsid w:val="00235D3A"/>
    <w:rsid w:val="0024181E"/>
    <w:rsid w:val="00244FF5"/>
    <w:rsid w:val="002720AA"/>
    <w:rsid w:val="0027691C"/>
    <w:rsid w:val="00281C62"/>
    <w:rsid w:val="002B6D7A"/>
    <w:rsid w:val="002C2CF9"/>
    <w:rsid w:val="002D4150"/>
    <w:rsid w:val="00316083"/>
    <w:rsid w:val="0035017B"/>
    <w:rsid w:val="0038012B"/>
    <w:rsid w:val="003820DD"/>
    <w:rsid w:val="00387572"/>
    <w:rsid w:val="003B1397"/>
    <w:rsid w:val="003C07A9"/>
    <w:rsid w:val="003C672D"/>
    <w:rsid w:val="003D479E"/>
    <w:rsid w:val="003E35BF"/>
    <w:rsid w:val="00400956"/>
    <w:rsid w:val="00422F5B"/>
    <w:rsid w:val="00427EDA"/>
    <w:rsid w:val="00435C79"/>
    <w:rsid w:val="0045791B"/>
    <w:rsid w:val="00472FF8"/>
    <w:rsid w:val="00476284"/>
    <w:rsid w:val="004D2F3C"/>
    <w:rsid w:val="004E3517"/>
    <w:rsid w:val="005117A1"/>
    <w:rsid w:val="005163BE"/>
    <w:rsid w:val="005314DB"/>
    <w:rsid w:val="005365D8"/>
    <w:rsid w:val="00554842"/>
    <w:rsid w:val="00564E44"/>
    <w:rsid w:val="005A6E1B"/>
    <w:rsid w:val="005D1881"/>
    <w:rsid w:val="006241AC"/>
    <w:rsid w:val="00633F9D"/>
    <w:rsid w:val="00645648"/>
    <w:rsid w:val="00646584"/>
    <w:rsid w:val="006468BB"/>
    <w:rsid w:val="006628B6"/>
    <w:rsid w:val="00666D29"/>
    <w:rsid w:val="00670657"/>
    <w:rsid w:val="00672FC2"/>
    <w:rsid w:val="00676D9D"/>
    <w:rsid w:val="00684052"/>
    <w:rsid w:val="006A4075"/>
    <w:rsid w:val="006C2B6F"/>
    <w:rsid w:val="006C3386"/>
    <w:rsid w:val="006E4AD8"/>
    <w:rsid w:val="0070730F"/>
    <w:rsid w:val="007113D3"/>
    <w:rsid w:val="007154EC"/>
    <w:rsid w:val="00752BDF"/>
    <w:rsid w:val="00762632"/>
    <w:rsid w:val="00766320"/>
    <w:rsid w:val="00776BF9"/>
    <w:rsid w:val="007862A0"/>
    <w:rsid w:val="007D417D"/>
    <w:rsid w:val="007D6B4E"/>
    <w:rsid w:val="007E5D36"/>
    <w:rsid w:val="007F293E"/>
    <w:rsid w:val="008362A5"/>
    <w:rsid w:val="008372FF"/>
    <w:rsid w:val="008401A8"/>
    <w:rsid w:val="00842C48"/>
    <w:rsid w:val="0089254A"/>
    <w:rsid w:val="00896FBE"/>
    <w:rsid w:val="008A54DD"/>
    <w:rsid w:val="008B2DFB"/>
    <w:rsid w:val="008B3081"/>
    <w:rsid w:val="008F355C"/>
    <w:rsid w:val="008F59D6"/>
    <w:rsid w:val="0090178F"/>
    <w:rsid w:val="0090406C"/>
    <w:rsid w:val="00912E95"/>
    <w:rsid w:val="00914909"/>
    <w:rsid w:val="00917C85"/>
    <w:rsid w:val="00923AA7"/>
    <w:rsid w:val="00932337"/>
    <w:rsid w:val="00945006"/>
    <w:rsid w:val="00945E7B"/>
    <w:rsid w:val="00952E5D"/>
    <w:rsid w:val="00952E91"/>
    <w:rsid w:val="00956DF0"/>
    <w:rsid w:val="00957366"/>
    <w:rsid w:val="00990C21"/>
    <w:rsid w:val="00992EBA"/>
    <w:rsid w:val="009A7883"/>
    <w:rsid w:val="009B470C"/>
    <w:rsid w:val="009C4EA8"/>
    <w:rsid w:val="009D3E3D"/>
    <w:rsid w:val="009D76B9"/>
    <w:rsid w:val="009F32D8"/>
    <w:rsid w:val="009F69EA"/>
    <w:rsid w:val="00A43A7E"/>
    <w:rsid w:val="00A6142A"/>
    <w:rsid w:val="00A67CB7"/>
    <w:rsid w:val="00A67D06"/>
    <w:rsid w:val="00A70172"/>
    <w:rsid w:val="00A76E68"/>
    <w:rsid w:val="00A82810"/>
    <w:rsid w:val="00A874C0"/>
    <w:rsid w:val="00AB45CD"/>
    <w:rsid w:val="00AC1E64"/>
    <w:rsid w:val="00B00B9D"/>
    <w:rsid w:val="00B102E0"/>
    <w:rsid w:val="00B13C6B"/>
    <w:rsid w:val="00B22536"/>
    <w:rsid w:val="00B32C7B"/>
    <w:rsid w:val="00B34EE0"/>
    <w:rsid w:val="00B5137E"/>
    <w:rsid w:val="00B65C51"/>
    <w:rsid w:val="00B67742"/>
    <w:rsid w:val="00B843A0"/>
    <w:rsid w:val="00BA1416"/>
    <w:rsid w:val="00BC0C66"/>
    <w:rsid w:val="00BD5D88"/>
    <w:rsid w:val="00BD6F5C"/>
    <w:rsid w:val="00BF5BA6"/>
    <w:rsid w:val="00C05DFD"/>
    <w:rsid w:val="00C16047"/>
    <w:rsid w:val="00C54B06"/>
    <w:rsid w:val="00C74C71"/>
    <w:rsid w:val="00C75E24"/>
    <w:rsid w:val="00C76C28"/>
    <w:rsid w:val="00C97DA4"/>
    <w:rsid w:val="00CA3B59"/>
    <w:rsid w:val="00CB04B0"/>
    <w:rsid w:val="00CC5788"/>
    <w:rsid w:val="00CC6D81"/>
    <w:rsid w:val="00CD0F7C"/>
    <w:rsid w:val="00D27A0A"/>
    <w:rsid w:val="00D65A78"/>
    <w:rsid w:val="00D707C7"/>
    <w:rsid w:val="00DD1F2C"/>
    <w:rsid w:val="00E15BF7"/>
    <w:rsid w:val="00E20AF1"/>
    <w:rsid w:val="00E2423E"/>
    <w:rsid w:val="00E24917"/>
    <w:rsid w:val="00E37643"/>
    <w:rsid w:val="00E4120D"/>
    <w:rsid w:val="00E45CAB"/>
    <w:rsid w:val="00E572E3"/>
    <w:rsid w:val="00E661CB"/>
    <w:rsid w:val="00E729C2"/>
    <w:rsid w:val="00EC640E"/>
    <w:rsid w:val="00EF325D"/>
    <w:rsid w:val="00EF7904"/>
    <w:rsid w:val="00F165FA"/>
    <w:rsid w:val="00F255C1"/>
    <w:rsid w:val="00F259AF"/>
    <w:rsid w:val="00F67365"/>
    <w:rsid w:val="00F77B2A"/>
    <w:rsid w:val="00F8472C"/>
    <w:rsid w:val="00F85200"/>
    <w:rsid w:val="00FD055F"/>
    <w:rsid w:val="00FE4836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6A53C"/>
  <w15:docId w15:val="{091754B0-4E4B-465A-81A3-D4F8D7AE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ED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90C2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8F355C"/>
    <w:rPr>
      <w:rFonts w:eastAsiaTheme="majorEastAsia" w:cstheme="majorBidi"/>
      <w:sz w:val="18"/>
    </w:rPr>
  </w:style>
  <w:style w:type="paragraph" w:styleId="Header">
    <w:name w:val="header"/>
    <w:basedOn w:val="Normal"/>
    <w:link w:val="HeaderChar"/>
    <w:rsid w:val="00427E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27EDA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27ED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B6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8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4C0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67742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57366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30E7C-058A-4B5B-9BD6-5A85FCC8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3155</Characters>
  <Application>Microsoft Office Word</Application>
  <DocSecurity>4</DocSecurity>
  <Lines>76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Myo Khin</dc:creator>
  <cp:lastModifiedBy>King, Ayanna</cp:lastModifiedBy>
  <cp:revision>2</cp:revision>
  <cp:lastPrinted>2023-12-28T14:23:00Z</cp:lastPrinted>
  <dcterms:created xsi:type="dcterms:W3CDTF">2025-09-29T01:35:00Z</dcterms:created>
  <dcterms:modified xsi:type="dcterms:W3CDTF">2025-09-29T01:35:00Z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85ae20f7-2724-4471-99f6-e9b8ab4d5229</vt:lpwstr>
  </property>
</Properties>
</file>