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E" w:rsidRDefault="00E925D7">
      <w:pPr>
        <w:tabs>
          <w:tab w:val="left" w:pos="8100"/>
          <w:tab w:val="right" w:pos="9360"/>
        </w:tabs>
        <w:ind w:left="6120" w:hanging="360"/>
        <w:rPr>
          <w:rFonts w:ascii="Arial" w:hAnsi="Arial"/>
          <w:sz w:val="20"/>
        </w:rPr>
      </w:pPr>
      <w:r>
        <w:rPr>
          <w:rFonts w:ascii="Arial" w:hAnsi="Arial"/>
          <w:sz w:val="20"/>
        </w:rPr>
        <w:t>Expedited</w:t>
      </w:r>
      <w:r w:rsidR="00E16D5E">
        <w:rPr>
          <w:rFonts w:ascii="Arial" w:hAnsi="Arial"/>
          <w:sz w:val="20"/>
        </w:rPr>
        <w:t xml:space="preserve"> Bill No.  </w:t>
      </w:r>
      <w:r w:rsidR="00E16D5E">
        <w:rPr>
          <w:rFonts w:ascii="Arial" w:hAnsi="Arial"/>
          <w:sz w:val="20"/>
          <w:u w:val="single"/>
        </w:rPr>
        <w:tab/>
      </w:r>
      <w:bookmarkStart w:id="0" w:name="BillNo"/>
      <w:r w:rsidR="00E90DB5">
        <w:rPr>
          <w:rFonts w:ascii="Arial" w:hAnsi="Arial"/>
          <w:sz w:val="20"/>
          <w:u w:val="single"/>
        </w:rPr>
        <w:t>51</w:t>
      </w:r>
      <w:r w:rsidR="00402F12">
        <w:rPr>
          <w:rFonts w:ascii="Arial" w:hAnsi="Arial"/>
          <w:sz w:val="20"/>
          <w:u w:val="single"/>
        </w:rPr>
        <w:t>-16</w:t>
      </w:r>
      <w:bookmarkEnd w:id="0"/>
      <w:r w:rsidR="00E16D5E">
        <w:rPr>
          <w:rFonts w:ascii="Arial" w:hAnsi="Arial"/>
          <w:sz w:val="20"/>
          <w:u w:val="single"/>
        </w:rPr>
        <w:tab/>
      </w:r>
    </w:p>
    <w:p w:rsidR="00E16D5E" w:rsidRDefault="00E16D5E">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402F12">
        <w:rPr>
          <w:rFonts w:ascii="Arial" w:hAnsi="Arial"/>
          <w:sz w:val="20"/>
          <w:u w:val="single"/>
        </w:rPr>
        <w:t>Taxation – Development Impact Tax – Local Area</w:t>
      </w:r>
      <w:r w:rsidR="00402F12" w:rsidRPr="00402F12">
        <w:rPr>
          <w:rFonts w:ascii="Arial" w:hAnsi="Arial"/>
          <w:sz w:val="20"/>
          <w:u w:val="single"/>
        </w:rPr>
        <w:t xml:space="preserve"> </w:t>
      </w:r>
      <w:r w:rsidR="00402F12">
        <w:rPr>
          <w:rFonts w:ascii="Arial" w:hAnsi="Arial"/>
          <w:sz w:val="20"/>
          <w:u w:val="single"/>
        </w:rPr>
        <w:t>Transportation Review Mitigation Payment - Established</w:t>
      </w:r>
      <w:r>
        <w:rPr>
          <w:rFonts w:ascii="Arial" w:hAnsi="Arial"/>
          <w:sz w:val="20"/>
          <w:u w:val="single"/>
        </w:rPr>
        <w:tab/>
      </w:r>
    </w:p>
    <w:p w:rsidR="00E16D5E" w:rsidRDefault="00E16D5E">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r>
      <w:r w:rsidR="00EB07C3">
        <w:rPr>
          <w:rFonts w:ascii="Arial" w:hAnsi="Arial"/>
          <w:sz w:val="20"/>
          <w:u w:val="single"/>
        </w:rPr>
        <w:t>February</w:t>
      </w:r>
      <w:r w:rsidR="00402F12">
        <w:rPr>
          <w:rFonts w:ascii="Arial" w:hAnsi="Arial"/>
          <w:sz w:val="20"/>
          <w:u w:val="single"/>
        </w:rPr>
        <w:t xml:space="preserve"> </w:t>
      </w:r>
      <w:r w:rsidR="00EB07C3">
        <w:rPr>
          <w:rFonts w:ascii="Arial" w:hAnsi="Arial"/>
          <w:sz w:val="20"/>
          <w:u w:val="single"/>
        </w:rPr>
        <w:t>9</w:t>
      </w:r>
      <w:r w:rsidR="00402F12">
        <w:rPr>
          <w:rFonts w:ascii="Arial" w:hAnsi="Arial"/>
          <w:sz w:val="20"/>
          <w:u w:val="single"/>
        </w:rPr>
        <w:t>, 201</w:t>
      </w:r>
      <w:r w:rsidR="00EB07C3">
        <w:rPr>
          <w:rFonts w:ascii="Arial" w:hAnsi="Arial"/>
          <w:sz w:val="20"/>
          <w:u w:val="single"/>
        </w:rPr>
        <w:t>7</w:t>
      </w:r>
      <w:r>
        <w:rPr>
          <w:rFonts w:ascii="Arial" w:hAnsi="Arial"/>
          <w:sz w:val="20"/>
        </w:rPr>
        <w:t xml:space="preserve"> Draft No. </w:t>
      </w:r>
      <w:r w:rsidR="005D4B74">
        <w:rPr>
          <w:rFonts w:ascii="Arial" w:hAnsi="Arial"/>
          <w:sz w:val="20"/>
          <w:u w:val="single"/>
        </w:rPr>
        <w:t>5</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E90DB5">
        <w:rPr>
          <w:rFonts w:ascii="Arial" w:hAnsi="Arial"/>
          <w:sz w:val="20"/>
          <w:u w:val="single"/>
        </w:rPr>
        <w:t>December 13, 2016</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EA00E8">
        <w:rPr>
          <w:rFonts w:ascii="Arial" w:hAnsi="Arial"/>
          <w:sz w:val="20"/>
          <w:u w:val="single"/>
        </w:rPr>
        <w:t>February 14,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3C1F0C">
        <w:rPr>
          <w:rFonts w:ascii="Arial" w:hAnsi="Arial"/>
          <w:sz w:val="20"/>
          <w:u w:val="single"/>
        </w:rPr>
        <w:t xml:space="preserve">February </w:t>
      </w:r>
      <w:r w:rsidR="003C1F0C">
        <w:rPr>
          <w:rFonts w:ascii="Arial" w:hAnsi="Arial"/>
          <w:sz w:val="20"/>
          <w:u w:val="single"/>
        </w:rPr>
        <w:t>23</w:t>
      </w:r>
      <w:r w:rsidR="003C1F0C">
        <w:rPr>
          <w:rFonts w:ascii="Arial" w:hAnsi="Arial"/>
          <w:sz w:val="20"/>
          <w:u w:val="single"/>
        </w:rPr>
        <w:t>,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902E0B">
        <w:rPr>
          <w:rFonts w:ascii="Arial" w:hAnsi="Arial"/>
          <w:sz w:val="20"/>
          <w:u w:val="single"/>
        </w:rPr>
        <w:t>March 1, 2017</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902E0B">
        <w:rPr>
          <w:rFonts w:ascii="Arial" w:hAnsi="Arial"/>
          <w:sz w:val="20"/>
          <w:u w:val="single"/>
        </w:rPr>
        <w:t>None</w:t>
      </w:r>
      <w:r>
        <w:rPr>
          <w:rFonts w:ascii="Arial" w:hAnsi="Arial"/>
          <w:sz w:val="20"/>
          <w:u w:val="single"/>
        </w:rPr>
        <w:tab/>
      </w:r>
    </w:p>
    <w:p w:rsidR="00E16D5E" w:rsidRDefault="00E16D5E">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454A63">
        <w:rPr>
          <w:rFonts w:ascii="Arial" w:hAnsi="Arial"/>
          <w:sz w:val="20"/>
          <w:u w:val="single"/>
        </w:rPr>
        <w:t>4</w:t>
      </w:r>
      <w:r>
        <w:rPr>
          <w:rFonts w:ascii="Arial" w:hAnsi="Arial"/>
          <w:sz w:val="20"/>
          <w:u w:val="single"/>
        </w:rPr>
        <w:tab/>
      </w:r>
      <w:r>
        <w:rPr>
          <w:rFonts w:ascii="Arial" w:hAnsi="Arial"/>
          <w:sz w:val="20"/>
        </w:rPr>
        <w:t xml:space="preserve">, Laws of Mont. Co.  </w:t>
      </w:r>
      <w:r>
        <w:rPr>
          <w:rFonts w:ascii="Arial" w:hAnsi="Arial"/>
          <w:sz w:val="20"/>
          <w:u w:val="single"/>
        </w:rPr>
        <w:tab/>
      </w:r>
      <w:r w:rsidR="00454A63">
        <w:rPr>
          <w:rFonts w:ascii="Arial" w:hAnsi="Arial"/>
          <w:sz w:val="20"/>
          <w:u w:val="single"/>
        </w:rPr>
        <w:t>2017</w:t>
      </w:r>
      <w:r>
        <w:rPr>
          <w:rFonts w:ascii="Arial" w:hAnsi="Arial"/>
          <w:sz w:val="20"/>
          <w:u w:val="single"/>
        </w:rPr>
        <w:tab/>
      </w:r>
    </w:p>
    <w:p w:rsidR="00E16D5E" w:rsidRDefault="00E16D5E">
      <w:pPr>
        <w:rPr>
          <w:rFonts w:ascii="Arial" w:hAnsi="Arial"/>
          <w:b/>
          <w:smallCaps/>
          <w:sz w:val="36"/>
        </w:rPr>
      </w:pPr>
    </w:p>
    <w:p w:rsidR="00E16D5E" w:rsidRDefault="00E16D5E">
      <w:pPr>
        <w:jc w:val="center"/>
        <w:rPr>
          <w:rFonts w:ascii="Arial" w:hAnsi="Arial"/>
          <w:b/>
          <w:smallCaps/>
          <w:sz w:val="36"/>
        </w:rPr>
      </w:pPr>
      <w:r>
        <w:rPr>
          <w:rFonts w:ascii="Arial" w:hAnsi="Arial"/>
          <w:b/>
          <w:smallCaps/>
          <w:sz w:val="36"/>
        </w:rPr>
        <w:t>County Council</w:t>
      </w:r>
    </w:p>
    <w:p w:rsidR="00E16D5E" w:rsidRDefault="00E16D5E">
      <w:pPr>
        <w:jc w:val="center"/>
        <w:rPr>
          <w:rFonts w:ascii="Arial" w:hAnsi="Arial"/>
          <w:b/>
          <w:smallCaps/>
          <w:sz w:val="36"/>
        </w:rPr>
      </w:pPr>
      <w:r>
        <w:rPr>
          <w:rFonts w:ascii="Arial" w:hAnsi="Arial"/>
          <w:b/>
          <w:smallCaps/>
          <w:sz w:val="36"/>
        </w:rPr>
        <w:t>For Montgomery County, Maryland</w:t>
      </w:r>
    </w:p>
    <w:p w:rsidR="00E16D5E" w:rsidRDefault="00E16D5E">
      <w:pPr>
        <w:rPr>
          <w:rFonts w:ascii="Arial" w:hAnsi="Arial"/>
          <w:b/>
          <w:smallCaps/>
          <w:sz w:val="36"/>
        </w:rPr>
      </w:pPr>
    </w:p>
    <w:p w:rsidR="00E16D5E" w:rsidRDefault="00F87200">
      <w:pPr>
        <w:pBdr>
          <w:top w:val="single" w:sz="6" w:space="6" w:color="auto"/>
          <w:bottom w:val="single" w:sz="6" w:space="6" w:color="auto"/>
        </w:pBdr>
        <w:jc w:val="center"/>
      </w:pPr>
      <w:r>
        <w:t>Lead Sponsor</w:t>
      </w:r>
      <w:r w:rsidR="00E16D5E">
        <w:t xml:space="preserve">: </w:t>
      </w:r>
      <w:r>
        <w:t>Council President Berliner</w:t>
      </w:r>
    </w:p>
    <w:p w:rsidR="00E16D5E" w:rsidRDefault="00E16D5E"/>
    <w:p w:rsidR="00E16D5E" w:rsidRDefault="00E16D5E">
      <w:r>
        <w:rPr>
          <w:rFonts w:ascii="Arial" w:hAnsi="Arial"/>
          <w:b/>
        </w:rPr>
        <w:t>AN E</w:t>
      </w:r>
      <w:r w:rsidR="00E925D7">
        <w:rPr>
          <w:rFonts w:ascii="Arial" w:hAnsi="Arial"/>
          <w:b/>
        </w:rPr>
        <w:t>XPEDITED</w:t>
      </w:r>
      <w:r>
        <w:rPr>
          <w:rFonts w:ascii="Arial" w:hAnsi="Arial"/>
          <w:b/>
        </w:rPr>
        <w:t xml:space="preserve"> ACT</w:t>
      </w:r>
      <w:r>
        <w:rPr>
          <w:b/>
        </w:rPr>
        <w:t xml:space="preserve"> </w:t>
      </w:r>
      <w:r>
        <w:t>to:</w:t>
      </w:r>
    </w:p>
    <w:p w:rsidR="00E16D5E" w:rsidRDefault="00402F12" w:rsidP="00402F12">
      <w:pPr>
        <w:ind w:left="1440" w:hanging="720"/>
      </w:pPr>
      <w:r>
        <w:t>(1)</w:t>
      </w:r>
      <w:r>
        <w:tab/>
        <w:t>establish a local area transportation review mitigation payment;</w:t>
      </w:r>
    </w:p>
    <w:p w:rsidR="00EB07C3" w:rsidRDefault="00402F12" w:rsidP="00402F12">
      <w:pPr>
        <w:ind w:left="1440" w:hanging="720"/>
      </w:pPr>
      <w:r>
        <w:t>(2)</w:t>
      </w:r>
      <w:r>
        <w:tab/>
        <w:t xml:space="preserve">authorize the Council to set the rates by resolution after a public hearing; </w:t>
      </w:r>
    </w:p>
    <w:p w:rsidR="00402F12" w:rsidRDefault="00EB07C3" w:rsidP="00402F12">
      <w:pPr>
        <w:ind w:left="1440" w:hanging="720"/>
      </w:pPr>
      <w:r>
        <w:rPr>
          <w:u w:val="double"/>
        </w:rPr>
        <w:t>(3)</w:t>
      </w:r>
      <w:r w:rsidRPr="00EB07C3">
        <w:tab/>
      </w:r>
      <w:r>
        <w:rPr>
          <w:u w:val="double"/>
        </w:rPr>
        <w:t>authorize a credit against the local area transportation review mitigation payment for the cost of certain improvements;</w:t>
      </w:r>
      <w:r w:rsidRPr="00EB07C3">
        <w:t xml:space="preserve"> </w:t>
      </w:r>
      <w:r w:rsidR="00402F12">
        <w:t>and</w:t>
      </w:r>
    </w:p>
    <w:p w:rsidR="00402F12" w:rsidRDefault="00EB07C3" w:rsidP="00402F12">
      <w:pPr>
        <w:ind w:left="1440" w:hanging="720"/>
      </w:pPr>
      <w:r>
        <w:rPr>
          <w:b/>
        </w:rPr>
        <w:t>[[</w:t>
      </w:r>
      <w:r w:rsidR="00402F12">
        <w:t>(3)</w:t>
      </w:r>
      <w:r>
        <w:rPr>
          <w:b/>
        </w:rPr>
        <w:t>]]</w:t>
      </w:r>
      <w:r>
        <w:t xml:space="preserve"> </w:t>
      </w:r>
      <w:r>
        <w:rPr>
          <w:u w:val="double"/>
        </w:rPr>
        <w:t>(4)</w:t>
      </w:r>
      <w:r w:rsidR="00402F12">
        <w:tab/>
        <w:t>amend the law concerning the development impact tax for transportation improvements.</w:t>
      </w:r>
    </w:p>
    <w:p w:rsidR="00E16D5E" w:rsidRDefault="00E16D5E"/>
    <w:p w:rsidR="00E16D5E" w:rsidRDefault="00E16D5E">
      <w:r>
        <w:t>By amending</w:t>
      </w:r>
    </w:p>
    <w:p w:rsidR="00E16D5E" w:rsidRDefault="00E16D5E">
      <w:r>
        <w:tab/>
        <w:t>Montgomery County Code</w:t>
      </w:r>
    </w:p>
    <w:p w:rsidR="00E16D5E" w:rsidRDefault="00E16D5E">
      <w:r>
        <w:tab/>
      </w:r>
      <w:r w:rsidR="006666A1">
        <w:t>Chapter 52, Taxation</w:t>
      </w:r>
    </w:p>
    <w:p w:rsidR="006666A1" w:rsidRDefault="006666A1">
      <w:r>
        <w:tab/>
      </w:r>
      <w:r w:rsidR="00EB07C3">
        <w:rPr>
          <w:b/>
        </w:rPr>
        <w:t>[[</w:t>
      </w:r>
      <w:r>
        <w:t>Section</w:t>
      </w:r>
      <w:r w:rsidR="00EB07C3">
        <w:rPr>
          <w:b/>
        </w:rPr>
        <w:t>]]</w:t>
      </w:r>
      <w:r w:rsidR="00EB07C3">
        <w:t xml:space="preserve"> </w:t>
      </w:r>
      <w:r w:rsidR="00EB07C3">
        <w:rPr>
          <w:u w:val="double"/>
        </w:rPr>
        <w:t>Sections 52-47 and</w:t>
      </w:r>
      <w:r>
        <w:t xml:space="preserve"> 52-51</w:t>
      </w:r>
    </w:p>
    <w:p w:rsidR="00E16D5E" w:rsidRDefault="00E16D5E"/>
    <w:p w:rsidR="00E16D5E" w:rsidRDefault="00E16D5E"/>
    <w:p w:rsidR="00E16D5E" w:rsidRDefault="00DA37FB">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E16D5E" w:rsidRDefault="00E16D5E"/>
    <w:p w:rsidR="00E16D5E" w:rsidRDefault="00E16D5E"/>
    <w:p w:rsidR="00E16D5E" w:rsidRDefault="00E16D5E"/>
    <w:p w:rsidR="00E16D5E" w:rsidRDefault="00E16D5E"/>
    <w:p w:rsidR="00E16D5E" w:rsidRDefault="00E16D5E"/>
    <w:p w:rsidR="00E16D5E" w:rsidRDefault="00E16D5E"/>
    <w:p w:rsidR="00E16D5E" w:rsidRDefault="00E16D5E">
      <w:pPr>
        <w:sectPr w:rsidR="00E16D5E">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1" w:name="BillText"/>
      <w:bookmarkEnd w:id="1"/>
      <w:r>
        <w:t xml:space="preserve"> </w:t>
      </w:r>
    </w:p>
    <w:p w:rsidR="00E16D5E" w:rsidRDefault="006666A1">
      <w:pPr>
        <w:pStyle w:val="Header"/>
        <w:tabs>
          <w:tab w:val="clear" w:pos="4320"/>
          <w:tab w:val="clear" w:pos="8640"/>
        </w:tabs>
        <w:spacing w:line="360" w:lineRule="auto"/>
        <w:rPr>
          <w:b/>
          <w:sz w:val="28"/>
          <w:szCs w:val="28"/>
        </w:rPr>
      </w:pPr>
      <w:r>
        <w:rPr>
          <w:b/>
          <w:sz w:val="28"/>
          <w:szCs w:val="28"/>
        </w:rPr>
        <w:lastRenderedPageBreak/>
        <w:tab/>
        <w:t xml:space="preserve">Sec. 1.  </w:t>
      </w:r>
      <w:r w:rsidR="007B6F56" w:rsidRPr="007B6F56">
        <w:rPr>
          <w:b/>
          <w:sz w:val="28"/>
          <w:szCs w:val="28"/>
        </w:rPr>
        <w:t>[[</w:t>
      </w:r>
      <w:r>
        <w:rPr>
          <w:b/>
          <w:sz w:val="28"/>
          <w:szCs w:val="28"/>
        </w:rPr>
        <w:t>Section</w:t>
      </w:r>
      <w:r w:rsidR="007B6F56" w:rsidRPr="007B6F56">
        <w:rPr>
          <w:b/>
          <w:sz w:val="28"/>
          <w:szCs w:val="28"/>
        </w:rPr>
        <w:t>]]</w:t>
      </w:r>
      <w:r w:rsidR="007B6F56">
        <w:rPr>
          <w:b/>
          <w:sz w:val="28"/>
          <w:szCs w:val="28"/>
        </w:rPr>
        <w:t xml:space="preserve"> </w:t>
      </w:r>
      <w:r w:rsidR="007B6F56" w:rsidRPr="007B6F56">
        <w:rPr>
          <w:b/>
          <w:sz w:val="28"/>
          <w:szCs w:val="28"/>
          <w:u w:val="double"/>
        </w:rPr>
        <w:t>Sections 52-47 and</w:t>
      </w:r>
      <w:r>
        <w:rPr>
          <w:b/>
          <w:sz w:val="28"/>
          <w:szCs w:val="28"/>
        </w:rPr>
        <w:t xml:space="preserve"> 52-51 </w:t>
      </w:r>
      <w:r w:rsidR="007B6F56" w:rsidRPr="007B6F56">
        <w:rPr>
          <w:b/>
          <w:sz w:val="28"/>
          <w:szCs w:val="28"/>
        </w:rPr>
        <w:t>[[</w:t>
      </w:r>
      <w:r>
        <w:rPr>
          <w:b/>
          <w:sz w:val="28"/>
          <w:szCs w:val="28"/>
        </w:rPr>
        <w:t>is</w:t>
      </w:r>
      <w:r w:rsidR="007B6F56" w:rsidRPr="007B6F56">
        <w:rPr>
          <w:b/>
          <w:sz w:val="28"/>
          <w:szCs w:val="28"/>
        </w:rPr>
        <w:t>]]</w:t>
      </w:r>
      <w:r w:rsidR="007B6F56">
        <w:rPr>
          <w:b/>
          <w:sz w:val="28"/>
          <w:szCs w:val="28"/>
        </w:rPr>
        <w:t xml:space="preserve"> </w:t>
      </w:r>
      <w:r w:rsidR="007B6F56">
        <w:rPr>
          <w:b/>
          <w:sz w:val="28"/>
          <w:szCs w:val="28"/>
          <w:u w:val="double"/>
        </w:rPr>
        <w:t>are</w:t>
      </w:r>
      <w:r>
        <w:rPr>
          <w:b/>
          <w:sz w:val="28"/>
          <w:szCs w:val="28"/>
        </w:rPr>
        <w:t xml:space="preserve"> amended as follows:</w:t>
      </w:r>
    </w:p>
    <w:p w:rsidR="00C8601B" w:rsidRDefault="00C8601B">
      <w:pPr>
        <w:pStyle w:val="Header"/>
        <w:tabs>
          <w:tab w:val="clear" w:pos="4320"/>
          <w:tab w:val="clear" w:pos="8640"/>
        </w:tabs>
        <w:spacing w:line="360" w:lineRule="auto"/>
        <w:rPr>
          <w:b/>
          <w:sz w:val="28"/>
          <w:szCs w:val="28"/>
        </w:rPr>
      </w:pPr>
      <w:r>
        <w:rPr>
          <w:b/>
          <w:sz w:val="28"/>
          <w:szCs w:val="28"/>
        </w:rPr>
        <w:t>52-47. Credits</w:t>
      </w:r>
    </w:p>
    <w:p w:rsidR="0085120A" w:rsidRDefault="0085120A" w:rsidP="007B6F56">
      <w:pPr>
        <w:pStyle w:val="Header"/>
        <w:tabs>
          <w:tab w:val="clear" w:pos="4320"/>
          <w:tab w:val="clear" w:pos="8640"/>
        </w:tabs>
        <w:spacing w:line="360" w:lineRule="auto"/>
        <w:jc w:val="center"/>
        <w:rPr>
          <w:b/>
          <w:sz w:val="28"/>
          <w:szCs w:val="28"/>
        </w:rPr>
      </w:pPr>
      <w:r>
        <w:rPr>
          <w:b/>
          <w:sz w:val="28"/>
          <w:szCs w:val="28"/>
        </w:rPr>
        <w:t xml:space="preserve">* </w:t>
      </w:r>
      <w:r w:rsidR="007B6F56">
        <w:rPr>
          <w:b/>
          <w:sz w:val="28"/>
          <w:szCs w:val="28"/>
        </w:rPr>
        <w:tab/>
      </w:r>
      <w:r w:rsidR="007B6F56">
        <w:rPr>
          <w:b/>
          <w:sz w:val="28"/>
          <w:szCs w:val="28"/>
        </w:rPr>
        <w:tab/>
        <w:t>*</w:t>
      </w:r>
      <w:r w:rsidR="007B6F56">
        <w:rPr>
          <w:b/>
          <w:sz w:val="28"/>
          <w:szCs w:val="28"/>
        </w:rPr>
        <w:tab/>
      </w:r>
      <w:r w:rsidR="007B6F56">
        <w:rPr>
          <w:b/>
          <w:sz w:val="28"/>
          <w:szCs w:val="28"/>
        </w:rPr>
        <w:tab/>
        <w:t>*</w:t>
      </w:r>
    </w:p>
    <w:p w:rsidR="008749CB" w:rsidRDefault="00C8601B" w:rsidP="00632656">
      <w:pPr>
        <w:pStyle w:val="Header"/>
        <w:tabs>
          <w:tab w:val="clear" w:pos="4320"/>
          <w:tab w:val="clear" w:pos="8640"/>
          <w:tab w:val="left" w:pos="2160"/>
        </w:tabs>
        <w:spacing w:line="360" w:lineRule="auto"/>
        <w:ind w:left="1440" w:hanging="720"/>
        <w:jc w:val="both"/>
        <w:rPr>
          <w:color w:val="000000"/>
          <w:sz w:val="28"/>
          <w:szCs w:val="28"/>
        </w:rPr>
      </w:pPr>
      <w:r w:rsidRPr="00C8601B">
        <w:rPr>
          <w:sz w:val="28"/>
        </w:rPr>
        <w:t>(b)</w:t>
      </w:r>
      <w:r w:rsidRPr="00C8601B">
        <w:rPr>
          <w:sz w:val="28"/>
        </w:rPr>
        <w:tab/>
      </w:r>
      <w:r w:rsidR="00E04AB2">
        <w:rPr>
          <w:sz w:val="28"/>
          <w:u w:val="double"/>
        </w:rPr>
        <w:t>Except as provided in subsection (</w:t>
      </w:r>
      <w:r w:rsidR="005D4B74">
        <w:rPr>
          <w:sz w:val="28"/>
          <w:u w:val="double"/>
        </w:rPr>
        <w:t>l</w:t>
      </w:r>
      <w:r w:rsidR="00E04AB2">
        <w:rPr>
          <w:sz w:val="28"/>
          <w:u w:val="double"/>
        </w:rPr>
        <w:t>), a</w:t>
      </w:r>
      <w:r w:rsidR="00E04AB2" w:rsidRPr="00E04AB2">
        <w:rPr>
          <w:sz w:val="28"/>
        </w:rPr>
        <w:t xml:space="preserve"> </w:t>
      </w:r>
      <w:r w:rsidR="00E04AB2">
        <w:rPr>
          <w:b/>
          <w:sz w:val="28"/>
        </w:rPr>
        <w:t>[[</w:t>
      </w:r>
      <w:r w:rsidRPr="00C8601B">
        <w:rPr>
          <w:color w:val="000000"/>
          <w:sz w:val="28"/>
          <w:szCs w:val="28"/>
        </w:rPr>
        <w:t>A</w:t>
      </w:r>
      <w:r w:rsidR="00E04AB2">
        <w:rPr>
          <w:b/>
          <w:color w:val="000000"/>
          <w:sz w:val="28"/>
          <w:szCs w:val="28"/>
        </w:rPr>
        <w:t>]]</w:t>
      </w:r>
      <w:r w:rsidRPr="00C8601B">
        <w:rPr>
          <w:color w:val="000000"/>
          <w:sz w:val="28"/>
          <w:szCs w:val="28"/>
        </w:rPr>
        <w:t xml:space="preserve"> property owner must receive a credit for constructing or contributing to an improvement of the type listed in Section</w:t>
      </w:r>
      <w:r>
        <w:rPr>
          <w:color w:val="000000"/>
          <w:sz w:val="28"/>
          <w:szCs w:val="28"/>
        </w:rPr>
        <w:t xml:space="preserve"> </w:t>
      </w:r>
      <w:hyperlink r:id="rId9" w:tgtFrame="_parent" w:history="1">
        <w:r w:rsidRPr="00C8601B">
          <w:rPr>
            <w:rStyle w:val="Hyperlink"/>
            <w:sz w:val="28"/>
            <w:szCs w:val="28"/>
          </w:rPr>
          <w:t>52-50</w:t>
        </w:r>
      </w:hyperlink>
      <w:r>
        <w:rPr>
          <w:rStyle w:val="apple-converted-space"/>
          <w:color w:val="000000"/>
          <w:sz w:val="28"/>
          <w:szCs w:val="28"/>
        </w:rPr>
        <w:t xml:space="preserve"> </w:t>
      </w:r>
      <w:r w:rsidRPr="00C8601B">
        <w:rPr>
          <w:color w:val="000000"/>
          <w:sz w:val="28"/>
          <w:szCs w:val="28"/>
        </w:rPr>
        <w:t>if the improvement reduces traffic demand or provides additional transportation capacity</w:t>
      </w:r>
      <w:r w:rsidR="00E04AB2">
        <w:rPr>
          <w:color w:val="000000"/>
          <w:sz w:val="28"/>
          <w:szCs w:val="28"/>
          <w:u w:val="double"/>
        </w:rPr>
        <w:t>, including</w:t>
      </w:r>
      <w:r w:rsidR="00E04AB2" w:rsidRPr="00E04AB2">
        <w:rPr>
          <w:color w:val="000000"/>
          <w:sz w:val="28"/>
          <w:szCs w:val="28"/>
          <w:u w:val="double"/>
        </w:rPr>
        <w:t xml:space="preserve"> </w:t>
      </w:r>
      <w:r w:rsidR="00E04AB2" w:rsidRPr="008749CB">
        <w:rPr>
          <w:color w:val="000000"/>
          <w:sz w:val="28"/>
          <w:szCs w:val="28"/>
          <w:u w:val="double"/>
        </w:rPr>
        <w:t>the cost of an improvement in an Urban Mobility Program or the White Oak Local Area Transportation Improvement Program</w:t>
      </w:r>
      <w:r w:rsidR="00E04AB2">
        <w:rPr>
          <w:color w:val="000000"/>
          <w:sz w:val="28"/>
          <w:szCs w:val="28"/>
          <w:u w:val="double"/>
        </w:rPr>
        <w:t xml:space="preserve"> to the extent it exceeds the listed cost of the improvement in that program</w:t>
      </w:r>
      <w:r>
        <w:rPr>
          <w:color w:val="000000"/>
          <w:sz w:val="28"/>
          <w:szCs w:val="28"/>
        </w:rPr>
        <w:t xml:space="preserve"> </w:t>
      </w:r>
      <w:r w:rsidRPr="00C8601B">
        <w:rPr>
          <w:color w:val="000000"/>
          <w:sz w:val="28"/>
          <w:szCs w:val="28"/>
        </w:rPr>
        <w:t xml:space="preserve"> </w:t>
      </w:r>
      <w:r w:rsidR="00632656">
        <w:rPr>
          <w:b/>
          <w:color w:val="000000"/>
          <w:sz w:val="28"/>
          <w:szCs w:val="28"/>
        </w:rPr>
        <w:t>[[</w:t>
      </w:r>
      <w:r w:rsidRPr="00C8601B">
        <w:rPr>
          <w:color w:val="000000"/>
          <w:sz w:val="28"/>
          <w:szCs w:val="28"/>
        </w:rPr>
        <w:t xml:space="preserve">However, </w:t>
      </w:r>
      <w:r w:rsidRPr="007B6F56">
        <w:rPr>
          <w:color w:val="000000"/>
          <w:sz w:val="28"/>
          <w:szCs w:val="28"/>
        </w:rPr>
        <w:t>the Department must not certify a credit for any improvement</w:t>
      </w:r>
      <w:r w:rsidR="00632656">
        <w:rPr>
          <w:color w:val="000000"/>
          <w:sz w:val="28"/>
          <w:szCs w:val="28"/>
        </w:rPr>
        <w:t xml:space="preserve"> </w:t>
      </w:r>
      <w:r w:rsidRPr="00C8601B">
        <w:rPr>
          <w:color w:val="000000"/>
          <w:sz w:val="28"/>
          <w:szCs w:val="28"/>
        </w:rPr>
        <w:t>in the right-of-way of a State road, except a transit or trip reduction program that operates on or relieves traffic on a State road or an improvement to a State road that is included in a memorandum of understanding between the County and either Rockville or Gaithersburg</w:t>
      </w:r>
      <w:r w:rsidR="00632656">
        <w:rPr>
          <w:b/>
          <w:color w:val="000000"/>
          <w:sz w:val="28"/>
          <w:szCs w:val="28"/>
        </w:rPr>
        <w:t>]]</w:t>
      </w:r>
      <w:r w:rsidR="00E04AB2" w:rsidRPr="00E04AB2">
        <w:rPr>
          <w:color w:val="000000"/>
          <w:sz w:val="28"/>
          <w:szCs w:val="28"/>
        </w:rPr>
        <w:t>.</w:t>
      </w:r>
    </w:p>
    <w:p w:rsidR="0085120A" w:rsidRDefault="0085120A" w:rsidP="00632656">
      <w:pPr>
        <w:pStyle w:val="Header"/>
        <w:tabs>
          <w:tab w:val="clear" w:pos="4320"/>
          <w:tab w:val="clear" w:pos="8640"/>
        </w:tabs>
        <w:spacing w:line="360" w:lineRule="auto"/>
        <w:jc w:val="center"/>
        <w:rPr>
          <w:b/>
          <w:sz w:val="28"/>
          <w:szCs w:val="28"/>
        </w:rPr>
      </w:pPr>
      <w:r>
        <w:rPr>
          <w:b/>
          <w:sz w:val="28"/>
          <w:szCs w:val="28"/>
        </w:rPr>
        <w:t xml:space="preserve">* </w:t>
      </w:r>
      <w:r w:rsidR="00632656">
        <w:rPr>
          <w:b/>
          <w:sz w:val="28"/>
          <w:szCs w:val="28"/>
        </w:rPr>
        <w:tab/>
      </w:r>
      <w:r w:rsidR="00632656">
        <w:rPr>
          <w:b/>
          <w:sz w:val="28"/>
          <w:szCs w:val="28"/>
        </w:rPr>
        <w:tab/>
        <w:t>*</w:t>
      </w:r>
      <w:r w:rsidR="00632656">
        <w:rPr>
          <w:b/>
          <w:sz w:val="28"/>
          <w:szCs w:val="28"/>
        </w:rPr>
        <w:tab/>
      </w:r>
      <w:r w:rsidR="00632656">
        <w:rPr>
          <w:b/>
          <w:sz w:val="28"/>
          <w:szCs w:val="28"/>
        </w:rPr>
        <w:tab/>
        <w:t>*</w:t>
      </w:r>
    </w:p>
    <w:p w:rsidR="00632656" w:rsidRPr="00632656" w:rsidRDefault="00632656" w:rsidP="00632656">
      <w:pPr>
        <w:pStyle w:val="Header"/>
        <w:tabs>
          <w:tab w:val="left" w:pos="720"/>
          <w:tab w:val="left" w:pos="1440"/>
        </w:tabs>
        <w:spacing w:line="360" w:lineRule="auto"/>
        <w:ind w:left="4320" w:hanging="3600"/>
        <w:jc w:val="both"/>
        <w:rPr>
          <w:sz w:val="28"/>
          <w:szCs w:val="28"/>
          <w:u w:val="double"/>
        </w:rPr>
      </w:pPr>
      <w:r>
        <w:rPr>
          <w:sz w:val="28"/>
          <w:szCs w:val="28"/>
          <w:u w:val="double"/>
        </w:rPr>
        <w:t>(</w:t>
      </w:r>
      <w:r w:rsidR="005D4B74">
        <w:rPr>
          <w:sz w:val="28"/>
          <w:szCs w:val="28"/>
          <w:u w:val="double"/>
        </w:rPr>
        <w:t>l</w:t>
      </w:r>
      <w:r>
        <w:rPr>
          <w:sz w:val="28"/>
          <w:szCs w:val="28"/>
          <w:u w:val="double"/>
        </w:rPr>
        <w:t>)</w:t>
      </w:r>
      <w:r w:rsidRPr="00632656">
        <w:rPr>
          <w:sz w:val="28"/>
          <w:szCs w:val="28"/>
        </w:rPr>
        <w:tab/>
      </w:r>
      <w:r w:rsidRPr="00632656">
        <w:rPr>
          <w:sz w:val="28"/>
          <w:szCs w:val="28"/>
          <w:u w:val="double"/>
        </w:rPr>
        <w:t>the Department must not certify a credit</w:t>
      </w:r>
      <w:r>
        <w:rPr>
          <w:sz w:val="28"/>
          <w:szCs w:val="28"/>
          <w:u w:val="double"/>
        </w:rPr>
        <w:t xml:space="preserve"> for</w:t>
      </w:r>
      <w:r w:rsidRPr="00632656">
        <w:rPr>
          <w:sz w:val="28"/>
          <w:szCs w:val="28"/>
          <w:u w:val="double"/>
        </w:rPr>
        <w:t>:</w:t>
      </w:r>
    </w:p>
    <w:p w:rsidR="00632656" w:rsidRPr="00632656" w:rsidRDefault="00632656" w:rsidP="00632656">
      <w:pPr>
        <w:pStyle w:val="Header"/>
        <w:tabs>
          <w:tab w:val="clear" w:pos="4320"/>
          <w:tab w:val="left" w:pos="720"/>
          <w:tab w:val="left" w:pos="1440"/>
          <w:tab w:val="left" w:pos="2160"/>
          <w:tab w:val="center" w:pos="3600"/>
        </w:tabs>
        <w:spacing w:line="360" w:lineRule="auto"/>
        <w:ind w:left="2160" w:hanging="720"/>
        <w:jc w:val="both"/>
        <w:rPr>
          <w:sz w:val="28"/>
          <w:szCs w:val="28"/>
          <w:u w:val="double"/>
        </w:rPr>
      </w:pPr>
      <w:r w:rsidRPr="00632656">
        <w:rPr>
          <w:sz w:val="28"/>
          <w:szCs w:val="28"/>
          <w:u w:val="double"/>
        </w:rPr>
        <w:t>(1)</w:t>
      </w:r>
      <w:r w:rsidRPr="00632656">
        <w:rPr>
          <w:sz w:val="28"/>
          <w:szCs w:val="28"/>
        </w:rPr>
        <w:tab/>
      </w:r>
      <w:r>
        <w:rPr>
          <w:sz w:val="28"/>
          <w:szCs w:val="28"/>
          <w:u w:val="double"/>
        </w:rPr>
        <w:tab/>
      </w:r>
      <w:r w:rsidRPr="00632656">
        <w:rPr>
          <w:sz w:val="28"/>
          <w:szCs w:val="28"/>
          <w:u w:val="double"/>
        </w:rPr>
        <w:t>the cost of a project in an Urban Mobility Program or the White Oak Local Area Transportation Improvement Program up to the listed cost of the improvement in that program; or</w:t>
      </w:r>
    </w:p>
    <w:p w:rsidR="000A7EBA" w:rsidRDefault="00632656" w:rsidP="00632656">
      <w:pPr>
        <w:pStyle w:val="Header"/>
        <w:tabs>
          <w:tab w:val="clear" w:pos="4320"/>
          <w:tab w:val="clear" w:pos="8640"/>
          <w:tab w:val="left" w:pos="720"/>
          <w:tab w:val="left" w:pos="1440"/>
          <w:tab w:val="left" w:pos="2160"/>
          <w:tab w:val="left" w:pos="2880"/>
        </w:tabs>
        <w:spacing w:line="360" w:lineRule="auto"/>
        <w:ind w:left="2160" w:hanging="720"/>
        <w:jc w:val="both"/>
        <w:rPr>
          <w:sz w:val="28"/>
          <w:szCs w:val="28"/>
          <w:u w:val="double"/>
        </w:rPr>
      </w:pPr>
      <w:r w:rsidRPr="00632656">
        <w:rPr>
          <w:sz w:val="28"/>
          <w:szCs w:val="28"/>
          <w:u w:val="double"/>
        </w:rPr>
        <w:t>(2)</w:t>
      </w:r>
      <w:r w:rsidRPr="00632656">
        <w:rPr>
          <w:sz w:val="28"/>
          <w:szCs w:val="28"/>
        </w:rPr>
        <w:tab/>
      </w:r>
      <w:r w:rsidRPr="00632656">
        <w:rPr>
          <w:sz w:val="28"/>
          <w:szCs w:val="28"/>
          <w:u w:val="double"/>
        </w:rPr>
        <w:t>any improvement in the right-of-way of a State road, except</w:t>
      </w:r>
      <w:r w:rsidR="000A7EBA">
        <w:rPr>
          <w:sz w:val="28"/>
          <w:szCs w:val="28"/>
          <w:u w:val="double"/>
        </w:rPr>
        <w:t>:</w:t>
      </w:r>
    </w:p>
    <w:p w:rsidR="000A7EBA" w:rsidRDefault="000A7EBA" w:rsidP="000A7EBA">
      <w:pPr>
        <w:pStyle w:val="Header"/>
        <w:tabs>
          <w:tab w:val="clear" w:pos="4320"/>
          <w:tab w:val="clear" w:pos="8640"/>
          <w:tab w:val="left" w:pos="720"/>
          <w:tab w:val="left" w:pos="1440"/>
          <w:tab w:val="left" w:pos="2160"/>
          <w:tab w:val="left" w:pos="2880"/>
        </w:tabs>
        <w:spacing w:line="360" w:lineRule="auto"/>
        <w:ind w:left="2880" w:hanging="720"/>
        <w:jc w:val="both"/>
        <w:rPr>
          <w:sz w:val="28"/>
          <w:szCs w:val="28"/>
          <w:u w:val="double"/>
        </w:rPr>
      </w:pPr>
      <w:r>
        <w:rPr>
          <w:sz w:val="28"/>
          <w:szCs w:val="28"/>
          <w:u w:val="double"/>
        </w:rPr>
        <w:t>(A)</w:t>
      </w:r>
      <w:r w:rsidRPr="000A7EBA">
        <w:rPr>
          <w:sz w:val="28"/>
          <w:szCs w:val="28"/>
        </w:rPr>
        <w:tab/>
      </w:r>
      <w:r w:rsidR="00632656" w:rsidRPr="00632656">
        <w:rPr>
          <w:sz w:val="28"/>
          <w:szCs w:val="28"/>
          <w:u w:val="double"/>
        </w:rPr>
        <w:t>a transit program that operates on or relieves traffic on a State road or an improvement to a State road that is included in a memorandum of understanding between the County and either Rockville or Gaithersburg</w:t>
      </w:r>
      <w:r>
        <w:rPr>
          <w:sz w:val="28"/>
          <w:szCs w:val="28"/>
          <w:u w:val="double"/>
        </w:rPr>
        <w:t>; or</w:t>
      </w:r>
    </w:p>
    <w:p w:rsidR="00632656" w:rsidRPr="00632656" w:rsidRDefault="000A7EBA" w:rsidP="000A7EBA">
      <w:pPr>
        <w:pStyle w:val="Header"/>
        <w:tabs>
          <w:tab w:val="clear" w:pos="4320"/>
          <w:tab w:val="clear" w:pos="8640"/>
          <w:tab w:val="left" w:pos="720"/>
          <w:tab w:val="left" w:pos="1440"/>
          <w:tab w:val="left" w:pos="2160"/>
          <w:tab w:val="left" w:pos="2880"/>
        </w:tabs>
        <w:spacing w:line="360" w:lineRule="auto"/>
        <w:ind w:left="2880" w:hanging="720"/>
        <w:jc w:val="both"/>
        <w:rPr>
          <w:sz w:val="28"/>
          <w:szCs w:val="28"/>
          <w:u w:val="double"/>
        </w:rPr>
      </w:pPr>
      <w:r>
        <w:rPr>
          <w:sz w:val="28"/>
          <w:szCs w:val="28"/>
          <w:u w:val="double"/>
        </w:rPr>
        <w:t>(B)</w:t>
      </w:r>
      <w:r w:rsidRPr="000A7EBA">
        <w:rPr>
          <w:sz w:val="28"/>
          <w:szCs w:val="28"/>
        </w:rPr>
        <w:tab/>
      </w:r>
      <w:r w:rsidRPr="008749CB">
        <w:rPr>
          <w:color w:val="000000"/>
          <w:sz w:val="28"/>
          <w:szCs w:val="28"/>
          <w:u w:val="double"/>
        </w:rPr>
        <w:t xml:space="preserve">the cost of an improvement in an Urban Mobility Program or the White Oak Local Area Transportation Improvement </w:t>
      </w:r>
      <w:r w:rsidRPr="008749CB">
        <w:rPr>
          <w:color w:val="000000"/>
          <w:sz w:val="28"/>
          <w:szCs w:val="28"/>
          <w:u w:val="double"/>
        </w:rPr>
        <w:lastRenderedPageBreak/>
        <w:t>Program</w:t>
      </w:r>
      <w:r>
        <w:rPr>
          <w:color w:val="000000"/>
          <w:sz w:val="28"/>
          <w:szCs w:val="28"/>
          <w:u w:val="double"/>
        </w:rPr>
        <w:t xml:space="preserve"> to the extent it exceeds the listed cost of the improvement in that program</w:t>
      </w:r>
      <w:r w:rsidR="00632656" w:rsidRPr="00632656">
        <w:rPr>
          <w:sz w:val="28"/>
          <w:szCs w:val="28"/>
          <w:u w:val="double"/>
        </w:rPr>
        <w:t>.</w:t>
      </w:r>
    </w:p>
    <w:p w:rsidR="006666A1" w:rsidRPr="00460C28" w:rsidRDefault="006666A1" w:rsidP="006666A1">
      <w:pPr>
        <w:spacing w:line="360" w:lineRule="auto"/>
        <w:jc w:val="both"/>
        <w:rPr>
          <w:b/>
          <w:sz w:val="28"/>
        </w:rPr>
      </w:pPr>
      <w:r w:rsidRPr="00460C28">
        <w:rPr>
          <w:b/>
          <w:sz w:val="28"/>
        </w:rPr>
        <w:t xml:space="preserve">52-51. </w:t>
      </w:r>
      <w:r w:rsidRPr="006666A1">
        <w:rPr>
          <w:b/>
          <w:sz w:val="28"/>
        </w:rPr>
        <w:t>[Reserved]</w:t>
      </w:r>
      <w:r>
        <w:rPr>
          <w:b/>
          <w:sz w:val="28"/>
        </w:rPr>
        <w:t xml:space="preserve"> </w:t>
      </w:r>
      <w:r w:rsidRPr="006666A1">
        <w:rPr>
          <w:b/>
          <w:sz w:val="28"/>
          <w:u w:val="words"/>
        </w:rPr>
        <w:t>Local Area Transportation Review Mitigation Payment</w:t>
      </w:r>
      <w:r w:rsidRPr="00460C28">
        <w:rPr>
          <w:b/>
          <w:sz w:val="28"/>
        </w:rPr>
        <w:t>.</w:t>
      </w:r>
    </w:p>
    <w:p w:rsidR="006666A1" w:rsidRDefault="006666A1" w:rsidP="00402F12">
      <w:pPr>
        <w:pStyle w:val="Header"/>
        <w:tabs>
          <w:tab w:val="clear" w:pos="4320"/>
          <w:tab w:val="clear" w:pos="8640"/>
        </w:tabs>
        <w:spacing w:line="360" w:lineRule="auto"/>
        <w:ind w:left="1440" w:hanging="720"/>
        <w:jc w:val="both"/>
        <w:rPr>
          <w:sz w:val="28"/>
          <w:u w:val="words"/>
        </w:rPr>
      </w:pPr>
      <w:r w:rsidRPr="006666A1">
        <w:rPr>
          <w:sz w:val="28"/>
          <w:u w:val="words"/>
        </w:rPr>
        <w:t>(a)</w:t>
      </w:r>
      <w:r w:rsidRPr="006666A1">
        <w:rPr>
          <w:sz w:val="28"/>
          <w:u w:val="words"/>
        </w:rPr>
        <w:tab/>
        <w:t xml:space="preserve">In addition to the tax due under this Article, an applicant for a building permit for any building </w:t>
      </w:r>
      <w:r w:rsidR="00343757" w:rsidRPr="00632656">
        <w:rPr>
          <w:b/>
          <w:sz w:val="28"/>
        </w:rPr>
        <w:t>[[</w:t>
      </w:r>
      <w:r w:rsidRPr="006666A1">
        <w:rPr>
          <w:sz w:val="28"/>
          <w:u w:val="words"/>
        </w:rPr>
        <w:t>on which an impact tax is imposed under this Article</w:t>
      </w:r>
      <w:r w:rsidR="00343757" w:rsidRPr="00632656">
        <w:rPr>
          <w:b/>
          <w:sz w:val="28"/>
        </w:rPr>
        <w:t>]]</w:t>
      </w:r>
      <w:r w:rsidRPr="006666A1">
        <w:rPr>
          <w:sz w:val="28"/>
          <w:u w:val="words"/>
        </w:rPr>
        <w:t xml:space="preserve"> must pay to the Department of Finance a Mitigation Payment if </w:t>
      </w:r>
      <w:r w:rsidR="00DA4067">
        <w:rPr>
          <w:sz w:val="28"/>
          <w:u w:val="words"/>
        </w:rPr>
        <w:t>this payment is required for a</w:t>
      </w:r>
      <w:r w:rsidRPr="006666A1">
        <w:rPr>
          <w:sz w:val="28"/>
          <w:u w:val="words"/>
        </w:rPr>
        <w:t xml:space="preserve"> building included in a preliminary plan of subdivision that was approved under the Local Area Transportation Review provisions in the County Subdivision Staging Policy.</w:t>
      </w:r>
    </w:p>
    <w:p w:rsidR="006666A1" w:rsidRDefault="006666A1" w:rsidP="00402F12">
      <w:pPr>
        <w:pStyle w:val="Header"/>
        <w:tabs>
          <w:tab w:val="clear" w:pos="4320"/>
          <w:tab w:val="clear" w:pos="8640"/>
        </w:tabs>
        <w:spacing w:line="360" w:lineRule="auto"/>
        <w:ind w:left="1440" w:hanging="720"/>
        <w:jc w:val="both"/>
        <w:rPr>
          <w:sz w:val="28"/>
          <w:u w:val="words"/>
        </w:rPr>
      </w:pPr>
      <w:r>
        <w:rPr>
          <w:sz w:val="28"/>
          <w:u w:val="words"/>
        </w:rPr>
        <w:t>(b)</w:t>
      </w:r>
      <w:r>
        <w:rPr>
          <w:sz w:val="28"/>
          <w:u w:val="words"/>
        </w:rPr>
        <w:tab/>
      </w:r>
      <w:r w:rsidRPr="006666A1">
        <w:rPr>
          <w:sz w:val="28"/>
          <w:u w:val="words"/>
        </w:rPr>
        <w:t>The Council</w:t>
      </w:r>
      <w:r>
        <w:rPr>
          <w:sz w:val="28"/>
          <w:u w:val="words"/>
        </w:rPr>
        <w:t>,</w:t>
      </w:r>
      <w:r w:rsidRPr="006666A1">
        <w:rPr>
          <w:sz w:val="28"/>
          <w:u w:val="words"/>
        </w:rPr>
        <w:t xml:space="preserve"> by resolution after a public hearing advertised at least 15 days in advance, </w:t>
      </w:r>
      <w:r>
        <w:rPr>
          <w:sz w:val="28"/>
          <w:u w:val="words"/>
        </w:rPr>
        <w:t>must establish</w:t>
      </w:r>
      <w:r w:rsidRPr="006666A1">
        <w:rPr>
          <w:sz w:val="28"/>
          <w:u w:val="words"/>
        </w:rPr>
        <w:t xml:space="preserve"> the rates </w:t>
      </w:r>
      <w:r>
        <w:rPr>
          <w:sz w:val="28"/>
          <w:u w:val="words"/>
        </w:rPr>
        <w:t>for the Mitigation Payment required</w:t>
      </w:r>
      <w:r w:rsidRPr="006666A1">
        <w:rPr>
          <w:sz w:val="28"/>
          <w:u w:val="words"/>
        </w:rPr>
        <w:t xml:space="preserve"> in this Section.</w:t>
      </w:r>
    </w:p>
    <w:p w:rsidR="006666A1" w:rsidRDefault="006666A1" w:rsidP="00402F12">
      <w:pPr>
        <w:pStyle w:val="Header"/>
        <w:tabs>
          <w:tab w:val="clear" w:pos="4320"/>
          <w:tab w:val="clear" w:pos="8640"/>
        </w:tabs>
        <w:spacing w:line="360" w:lineRule="auto"/>
        <w:ind w:left="1440" w:hanging="720"/>
        <w:jc w:val="both"/>
        <w:rPr>
          <w:sz w:val="28"/>
          <w:u w:val="words"/>
        </w:rPr>
      </w:pPr>
      <w:r>
        <w:rPr>
          <w:sz w:val="28"/>
          <w:u w:val="words"/>
        </w:rPr>
        <w:t>(c)</w:t>
      </w:r>
      <w:r>
        <w:rPr>
          <w:sz w:val="28"/>
          <w:u w:val="words"/>
        </w:rPr>
        <w:tab/>
      </w:r>
      <w:r w:rsidR="00402F12" w:rsidRPr="00402F12">
        <w:rPr>
          <w:sz w:val="28"/>
          <w:u w:val="words"/>
        </w:rPr>
        <w:t>The Payment must be paid at the same time and in the same manner as the tax under this Article, and is subject to all provisions of this Article for administering and collecting the tax.</w:t>
      </w:r>
    </w:p>
    <w:p w:rsidR="00402F12" w:rsidRDefault="00402F12" w:rsidP="00402F12">
      <w:pPr>
        <w:pStyle w:val="Header"/>
        <w:tabs>
          <w:tab w:val="clear" w:pos="4320"/>
          <w:tab w:val="clear" w:pos="8640"/>
        </w:tabs>
        <w:spacing w:line="360" w:lineRule="auto"/>
        <w:ind w:left="1440" w:hanging="720"/>
        <w:jc w:val="both"/>
        <w:rPr>
          <w:sz w:val="28"/>
          <w:u w:val="words"/>
        </w:rPr>
      </w:pPr>
      <w:r>
        <w:rPr>
          <w:sz w:val="28"/>
          <w:u w:val="words"/>
        </w:rPr>
        <w:t>(d)</w:t>
      </w:r>
      <w:r>
        <w:rPr>
          <w:sz w:val="28"/>
          <w:u w:val="words"/>
        </w:rPr>
        <w:tab/>
      </w:r>
      <w:r w:rsidRPr="00402F12">
        <w:rPr>
          <w:sz w:val="28"/>
          <w:u w:val="words"/>
        </w:rPr>
        <w:t>The Department of Finance must retain funds collected under this Section in an account to be appropriated for transportation improvements that result in added transportation capacity</w:t>
      </w:r>
      <w:r>
        <w:rPr>
          <w:sz w:val="28"/>
          <w:u w:val="words"/>
        </w:rPr>
        <w:t xml:space="preserve"> or improved mobility</w:t>
      </w:r>
      <w:r w:rsidRPr="00402F12">
        <w:rPr>
          <w:sz w:val="28"/>
          <w:u w:val="words"/>
        </w:rPr>
        <w:t xml:space="preserve"> in the area where the development for which the funds were paid is located.</w:t>
      </w:r>
    </w:p>
    <w:p w:rsidR="00343757" w:rsidRDefault="00343757" w:rsidP="00402F12">
      <w:pPr>
        <w:pStyle w:val="Header"/>
        <w:tabs>
          <w:tab w:val="clear" w:pos="4320"/>
          <w:tab w:val="clear" w:pos="8640"/>
        </w:tabs>
        <w:spacing w:line="360" w:lineRule="auto"/>
        <w:ind w:left="1440" w:hanging="720"/>
        <w:jc w:val="both"/>
        <w:rPr>
          <w:sz w:val="28"/>
          <w:u w:val="double"/>
        </w:rPr>
      </w:pPr>
      <w:r>
        <w:rPr>
          <w:sz w:val="28"/>
          <w:u w:val="double"/>
        </w:rPr>
        <w:t>(e)</w:t>
      </w:r>
      <w:r w:rsidRPr="00632656">
        <w:rPr>
          <w:sz w:val="28"/>
        </w:rPr>
        <w:tab/>
      </w:r>
      <w:r w:rsidR="00C8601B">
        <w:rPr>
          <w:sz w:val="28"/>
          <w:u w:val="double"/>
        </w:rPr>
        <w:t xml:space="preserve">A property owner must receive a credit against </w:t>
      </w:r>
      <w:r w:rsidR="00EB07C3">
        <w:rPr>
          <w:sz w:val="28"/>
          <w:u w:val="double"/>
        </w:rPr>
        <w:t>the</w:t>
      </w:r>
      <w:r w:rsidR="00C8601B">
        <w:rPr>
          <w:sz w:val="28"/>
          <w:u w:val="double"/>
        </w:rPr>
        <w:t xml:space="preserve"> </w:t>
      </w:r>
      <w:r w:rsidR="003740E2">
        <w:rPr>
          <w:sz w:val="28"/>
          <w:u w:val="double"/>
        </w:rPr>
        <w:t xml:space="preserve">Local Area </w:t>
      </w:r>
      <w:r w:rsidR="00C8601B">
        <w:rPr>
          <w:sz w:val="28"/>
          <w:u w:val="double"/>
        </w:rPr>
        <w:t xml:space="preserve">Transportation </w:t>
      </w:r>
      <w:r w:rsidR="003740E2">
        <w:rPr>
          <w:sz w:val="28"/>
          <w:u w:val="double"/>
        </w:rPr>
        <w:t xml:space="preserve">Review </w:t>
      </w:r>
      <w:r w:rsidR="00EB07C3">
        <w:rPr>
          <w:sz w:val="28"/>
          <w:u w:val="double"/>
        </w:rPr>
        <w:t>Mitigation Payment authorized by this Section</w:t>
      </w:r>
      <w:r w:rsidR="00C8601B">
        <w:rPr>
          <w:sz w:val="28"/>
          <w:u w:val="double"/>
        </w:rPr>
        <w:t xml:space="preserve"> for </w:t>
      </w:r>
      <w:r w:rsidR="00632656">
        <w:rPr>
          <w:sz w:val="28"/>
          <w:u w:val="double"/>
        </w:rPr>
        <w:t xml:space="preserve">the cost of </w:t>
      </w:r>
      <w:r w:rsidR="00C8601B">
        <w:rPr>
          <w:sz w:val="28"/>
          <w:u w:val="double"/>
        </w:rPr>
        <w:t xml:space="preserve">constructing or contributing to an improvement listed in a Unified Mobility Program for that area or for the White Oak Local Area Transportation Improvement Program </w:t>
      </w:r>
      <w:r w:rsidR="0085120A">
        <w:rPr>
          <w:sz w:val="28"/>
          <w:u w:val="double"/>
        </w:rPr>
        <w:t>up to the cost of the improvement listed in that program</w:t>
      </w:r>
      <w:r w:rsidR="00C8601B">
        <w:rPr>
          <w:sz w:val="28"/>
          <w:u w:val="double"/>
        </w:rPr>
        <w:t>.</w:t>
      </w:r>
    </w:p>
    <w:p w:rsidR="00E925D7" w:rsidRPr="00FF4DB9" w:rsidRDefault="00632656" w:rsidP="006666A1">
      <w:pPr>
        <w:pStyle w:val="Header"/>
        <w:tabs>
          <w:tab w:val="clear" w:pos="4320"/>
          <w:tab w:val="clear" w:pos="8640"/>
        </w:tabs>
        <w:spacing w:line="360" w:lineRule="auto"/>
        <w:jc w:val="both"/>
        <w:rPr>
          <w:sz w:val="28"/>
          <w:szCs w:val="28"/>
        </w:rPr>
      </w:pPr>
      <w:r w:rsidRPr="00632656">
        <w:rPr>
          <w:sz w:val="28"/>
        </w:rPr>
        <w:tab/>
      </w:r>
      <w:r w:rsidR="00E925D7" w:rsidRPr="00FF4DB9">
        <w:rPr>
          <w:b/>
          <w:sz w:val="28"/>
          <w:szCs w:val="28"/>
        </w:rPr>
        <w:t>Sec. 2.</w:t>
      </w:r>
      <w:r w:rsidR="00E925D7" w:rsidRPr="00FF4DB9">
        <w:rPr>
          <w:b/>
          <w:sz w:val="28"/>
          <w:szCs w:val="28"/>
        </w:rPr>
        <w:tab/>
        <w:t>Expedited Effective Date.</w:t>
      </w:r>
    </w:p>
    <w:p w:rsidR="00AE3BC4" w:rsidRDefault="00E925D7" w:rsidP="00402F12">
      <w:pPr>
        <w:widowControl w:val="0"/>
        <w:spacing w:line="360" w:lineRule="auto"/>
        <w:jc w:val="both"/>
        <w:rPr>
          <w:sz w:val="28"/>
          <w:szCs w:val="28"/>
        </w:rPr>
        <w:sectPr w:rsidR="00AE3BC4" w:rsidSect="00EA00E8">
          <w:pgSz w:w="12240" w:h="15840" w:code="1"/>
          <w:pgMar w:top="1440" w:right="1008" w:bottom="1440" w:left="1872" w:header="720" w:footer="720" w:gutter="0"/>
          <w:lnNumType w:countBy="1" w:restart="continuous"/>
          <w:cols w:space="720"/>
          <w:formProt w:val="0"/>
          <w:docGrid w:linePitch="326"/>
        </w:sectPr>
      </w:pPr>
      <w:r w:rsidRPr="00FF4DB9">
        <w:rPr>
          <w:sz w:val="28"/>
          <w:szCs w:val="28"/>
        </w:rPr>
        <w:tab/>
        <w:t xml:space="preserve">The Council declares that this legislation is necessary for the immediate </w:t>
      </w:r>
    </w:p>
    <w:p w:rsidR="00EA00E8" w:rsidRDefault="00E925D7" w:rsidP="00402F12">
      <w:pPr>
        <w:widowControl w:val="0"/>
        <w:spacing w:line="360" w:lineRule="auto"/>
        <w:jc w:val="both"/>
        <w:rPr>
          <w:sz w:val="28"/>
          <w:szCs w:val="28"/>
        </w:rPr>
      </w:pPr>
      <w:r w:rsidRPr="00FF4DB9">
        <w:rPr>
          <w:sz w:val="28"/>
          <w:szCs w:val="28"/>
        </w:rPr>
        <w:lastRenderedPageBreak/>
        <w:t xml:space="preserve">protection of the public interest.  This Act takes effect on </w:t>
      </w:r>
      <w:r w:rsidR="00E90DB5">
        <w:rPr>
          <w:sz w:val="28"/>
          <w:szCs w:val="28"/>
        </w:rPr>
        <w:t>March 1, 2017</w:t>
      </w:r>
      <w:r w:rsidRPr="00FF4DB9">
        <w:rPr>
          <w:sz w:val="28"/>
          <w:szCs w:val="28"/>
        </w:rPr>
        <w:t>.</w:t>
      </w: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482C45" w:rsidRDefault="00482C45" w:rsidP="00482C45">
      <w:pPr>
        <w:keepNext/>
        <w:keepLines/>
        <w:spacing w:line="360" w:lineRule="auto"/>
      </w:pPr>
      <w:r>
        <w:rPr>
          <w:highlight w:val="yellow"/>
        </w:rPr>
        <w:t>/s/</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2/</w:t>
      </w:r>
      <w:r w:rsidR="003C1F0C">
        <w:rPr>
          <w:highlight w:val="yellow"/>
        </w:rPr>
        <w:t>16</w:t>
      </w:r>
      <w:r>
        <w:rPr>
          <w:highlight w:val="yellow"/>
        </w:rPr>
        <w:t>/17</w:t>
      </w:r>
    </w:p>
    <w:p w:rsidR="00482C45" w:rsidRDefault="00482C45" w:rsidP="00482C45">
      <w:pPr>
        <w:suppressLineNumbers/>
        <w:pBdr>
          <w:top w:val="single" w:sz="6" w:space="1" w:color="auto"/>
        </w:pBdr>
        <w:spacing w:line="360" w:lineRule="auto"/>
      </w:pPr>
      <w:r>
        <w:t>Roger Berliner, President, County Council</w:t>
      </w:r>
      <w:r>
        <w:tab/>
      </w:r>
      <w:r>
        <w:tab/>
      </w:r>
      <w:r>
        <w:tab/>
      </w:r>
      <w:r>
        <w:tab/>
      </w:r>
      <w:r>
        <w:tab/>
        <w:t>Date</w:t>
      </w:r>
    </w:p>
    <w:p w:rsidR="00482C45" w:rsidRDefault="00482C45" w:rsidP="00482C45">
      <w:pPr>
        <w:keepNext/>
        <w:keepLines/>
        <w:spacing w:line="360" w:lineRule="auto"/>
      </w:pPr>
      <w:r>
        <w:rPr>
          <w:i/>
        </w:rPr>
        <w:t>Approved:</w:t>
      </w:r>
    </w:p>
    <w:p w:rsidR="00482C45" w:rsidRDefault="00482C45" w:rsidP="00482C45">
      <w:pPr>
        <w:keepNext/>
        <w:keepLines/>
        <w:suppressLineNumbers/>
        <w:spacing w:line="360" w:lineRule="auto"/>
      </w:pPr>
    </w:p>
    <w:p w:rsidR="00482C45" w:rsidRDefault="00482C45" w:rsidP="00482C45">
      <w:pPr>
        <w:keepNext/>
        <w:keepLines/>
        <w:spacing w:line="360" w:lineRule="auto"/>
      </w:pPr>
      <w:r>
        <w:rPr>
          <w:highlight w:val="yellow"/>
        </w:rPr>
        <w:t>/s/</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2/</w:t>
      </w:r>
      <w:r w:rsidR="003C1F0C">
        <w:rPr>
          <w:highlight w:val="yellow"/>
        </w:rPr>
        <w:t>23</w:t>
      </w:r>
      <w:r>
        <w:rPr>
          <w:highlight w:val="yellow"/>
        </w:rPr>
        <w:t>/17</w:t>
      </w:r>
    </w:p>
    <w:p w:rsidR="00482C45" w:rsidRDefault="00482C45" w:rsidP="00482C45">
      <w:pPr>
        <w:keepLines/>
        <w:suppressLineNumbers/>
        <w:pBdr>
          <w:top w:val="single" w:sz="6" w:space="1" w:color="auto"/>
        </w:pBdr>
        <w:spacing w:line="360" w:lineRule="auto"/>
      </w:pPr>
      <w:r>
        <w:t>Isiah Leggett, County Executive</w:t>
      </w:r>
      <w:r>
        <w:tab/>
      </w:r>
      <w:r>
        <w:tab/>
      </w:r>
      <w:r>
        <w:tab/>
      </w:r>
      <w:r>
        <w:tab/>
      </w:r>
      <w:r>
        <w:tab/>
      </w:r>
      <w:r>
        <w:tab/>
        <w:t>Date</w:t>
      </w:r>
    </w:p>
    <w:p w:rsidR="00482C45" w:rsidRDefault="00482C45" w:rsidP="00482C45">
      <w:pPr>
        <w:keepNext/>
        <w:keepLines/>
        <w:spacing w:line="360" w:lineRule="auto"/>
      </w:pPr>
      <w:r>
        <w:rPr>
          <w:i/>
        </w:rPr>
        <w:t>This is a correct copy of Council action.</w:t>
      </w:r>
    </w:p>
    <w:p w:rsidR="00482C45" w:rsidRDefault="00482C45" w:rsidP="00482C45">
      <w:pPr>
        <w:keepNext/>
        <w:keepLines/>
        <w:suppressLineNumbers/>
        <w:spacing w:line="360" w:lineRule="auto"/>
      </w:pPr>
    </w:p>
    <w:p w:rsidR="00482C45" w:rsidRDefault="00482C45" w:rsidP="00482C45">
      <w:pPr>
        <w:keepNext/>
        <w:keepLines/>
        <w:spacing w:line="360" w:lineRule="auto"/>
      </w:pPr>
      <w:r>
        <w:rPr>
          <w:highlight w:val="yellow"/>
        </w:rPr>
        <w:t>/s/</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2/</w:t>
      </w:r>
      <w:r w:rsidR="003C1F0C">
        <w:rPr>
          <w:highlight w:val="yellow"/>
        </w:rPr>
        <w:t>27</w:t>
      </w:r>
      <w:bookmarkStart w:id="2" w:name="_GoBack"/>
      <w:bookmarkEnd w:id="2"/>
      <w:r>
        <w:rPr>
          <w:highlight w:val="yellow"/>
        </w:rPr>
        <w:t>/17</w:t>
      </w:r>
    </w:p>
    <w:p w:rsidR="00E16D5E" w:rsidRDefault="00482C45" w:rsidP="00482C45">
      <w:pPr>
        <w:suppressLineNumbers/>
        <w:pBdr>
          <w:top w:val="single" w:sz="6" w:space="1" w:color="auto"/>
        </w:pBdr>
        <w:spacing w:line="360" w:lineRule="auto"/>
      </w:pPr>
      <w:r>
        <w:t>Linda M. Lauer, Clerk of the Council</w:t>
      </w:r>
      <w:r>
        <w:tab/>
      </w:r>
      <w:r>
        <w:tab/>
      </w:r>
      <w:r>
        <w:tab/>
      </w:r>
      <w:r>
        <w:tab/>
      </w:r>
      <w:r>
        <w:tab/>
      </w:r>
      <w:r>
        <w:tab/>
        <w:t>Date</w:t>
      </w:r>
    </w:p>
    <w:sectPr w:rsidR="00E16D5E" w:rsidSect="006A7C24">
      <w:pgSz w:w="12240" w:h="15840" w:code="1"/>
      <w:pgMar w:top="1440" w:right="1008" w:bottom="1440" w:left="1872" w:header="720" w:footer="720"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2A" w:rsidRDefault="0003042A">
      <w:r>
        <w:separator/>
      </w:r>
    </w:p>
  </w:endnote>
  <w:endnote w:type="continuationSeparator" w:id="0">
    <w:p w:rsidR="0003042A" w:rsidRDefault="0003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8E" w:rsidRDefault="00E16D5E">
    <w:pPr>
      <w:tabs>
        <w:tab w:val="center" w:pos="4680"/>
        <w:tab w:val="right" w:pos="9360"/>
      </w:tabs>
    </w:pPr>
    <w:r>
      <w:tab/>
      <w:t xml:space="preserve">- </w:t>
    </w:r>
    <w:r>
      <w:fldChar w:fldCharType="begin"/>
    </w:r>
    <w:r>
      <w:instrText xml:space="preserve"> PAGE </w:instrText>
    </w:r>
    <w:r>
      <w:fldChar w:fldCharType="separate"/>
    </w:r>
    <w:r w:rsidR="003C1F0C">
      <w:rPr>
        <w:noProof/>
      </w:rPr>
      <w:t>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2A" w:rsidRDefault="0003042A">
      <w:r>
        <w:separator/>
      </w:r>
    </w:p>
  </w:footnote>
  <w:footnote w:type="continuationSeparator" w:id="0">
    <w:p w:rsidR="0003042A" w:rsidRDefault="0003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pStyle w:val="Header"/>
      <w:jc w:val="right"/>
    </w:pPr>
    <w:r>
      <w:rPr>
        <w:rFonts w:ascii="Arial" w:hAnsi="Arial"/>
        <w:smallCaps/>
        <w:sz w:val="20"/>
      </w:rPr>
      <w:t>E</w:t>
    </w:r>
    <w:r w:rsidR="00E925D7">
      <w:rPr>
        <w:rFonts w:ascii="Arial" w:hAnsi="Arial"/>
        <w:smallCaps/>
        <w:sz w:val="20"/>
      </w:rPr>
      <w:t>xpedited</w:t>
    </w:r>
    <w:r>
      <w:rPr>
        <w:rFonts w:ascii="Arial" w:hAnsi="Arial"/>
        <w:smallCaps/>
        <w:sz w:val="20"/>
      </w:rPr>
      <w:t xml:space="preserve"> Bill No. </w:t>
    </w:r>
    <w:r w:rsidR="00E90DB5">
      <w:rPr>
        <w:rFonts w:ascii="Arial" w:hAnsi="Arial"/>
        <w:smallCaps/>
        <w:sz w:val="20"/>
      </w:rPr>
      <w:t>51</w:t>
    </w:r>
    <w:r w:rsidR="00DA37FB">
      <w:rPr>
        <w:rFonts w:ascii="Arial" w:hAnsi="Arial"/>
        <w:smallCaps/>
        <w:sz w:val="20"/>
      </w:rPr>
      <w:t>-16</w:t>
    </w:r>
  </w:p>
  <w:p w:rsidR="00E16D5E" w:rsidRPr="00FA0979" w:rsidRDefault="00E16D5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A4336"/>
    <w:multiLevelType w:val="hybridMultilevel"/>
    <w:tmpl w:val="3A149F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D7"/>
    <w:rsid w:val="000223AD"/>
    <w:rsid w:val="0003042A"/>
    <w:rsid w:val="000A7EBA"/>
    <w:rsid w:val="001640A1"/>
    <w:rsid w:val="001A25D9"/>
    <w:rsid w:val="00343757"/>
    <w:rsid w:val="003740E2"/>
    <w:rsid w:val="003C1F0C"/>
    <w:rsid w:val="00402F12"/>
    <w:rsid w:val="00454A63"/>
    <w:rsid w:val="00482C45"/>
    <w:rsid w:val="00492955"/>
    <w:rsid w:val="004A277A"/>
    <w:rsid w:val="005D4B74"/>
    <w:rsid w:val="006231EB"/>
    <w:rsid w:val="00632656"/>
    <w:rsid w:val="006666A1"/>
    <w:rsid w:val="006A7C24"/>
    <w:rsid w:val="006B1D43"/>
    <w:rsid w:val="006D6C49"/>
    <w:rsid w:val="0071669C"/>
    <w:rsid w:val="007B6F56"/>
    <w:rsid w:val="007C51C1"/>
    <w:rsid w:val="007F0B85"/>
    <w:rsid w:val="00843BB9"/>
    <w:rsid w:val="0085120A"/>
    <w:rsid w:val="008749CB"/>
    <w:rsid w:val="00874C09"/>
    <w:rsid w:val="00902E0B"/>
    <w:rsid w:val="009A477A"/>
    <w:rsid w:val="009C1F40"/>
    <w:rsid w:val="00AE3BC4"/>
    <w:rsid w:val="00B21426"/>
    <w:rsid w:val="00C76AAA"/>
    <w:rsid w:val="00C8601B"/>
    <w:rsid w:val="00CD0035"/>
    <w:rsid w:val="00CF43A8"/>
    <w:rsid w:val="00D5310A"/>
    <w:rsid w:val="00DA37FB"/>
    <w:rsid w:val="00DA4067"/>
    <w:rsid w:val="00E03E1F"/>
    <w:rsid w:val="00E04AB2"/>
    <w:rsid w:val="00E0639C"/>
    <w:rsid w:val="00E16D5E"/>
    <w:rsid w:val="00E90DB5"/>
    <w:rsid w:val="00E925D7"/>
    <w:rsid w:val="00EA00E8"/>
    <w:rsid w:val="00EB07C3"/>
    <w:rsid w:val="00EB778E"/>
    <w:rsid w:val="00F87200"/>
    <w:rsid w:val="00FA0979"/>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2B5C7"/>
  <w15:chartTrackingRefBased/>
  <w15:docId w15:val="{1BB5D525-8AC3-4B30-A31E-E84265A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0035"/>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D0035"/>
  </w:style>
  <w:style w:type="paragraph" w:styleId="BodyText">
    <w:name w:val="Body Text"/>
    <w:basedOn w:val="Normal"/>
    <w:rsid w:val="00CD0035"/>
    <w:pPr>
      <w:spacing w:after="120"/>
    </w:pPr>
  </w:style>
  <w:style w:type="paragraph" w:styleId="Header">
    <w:name w:val="header"/>
    <w:basedOn w:val="Normal"/>
    <w:rsid w:val="00CD0035"/>
    <w:pPr>
      <w:tabs>
        <w:tab w:val="center" w:pos="4320"/>
        <w:tab w:val="right" w:pos="8640"/>
      </w:tabs>
    </w:pPr>
  </w:style>
  <w:style w:type="paragraph" w:styleId="Footer">
    <w:name w:val="footer"/>
    <w:basedOn w:val="Normal"/>
    <w:rsid w:val="00CD0035"/>
    <w:pPr>
      <w:tabs>
        <w:tab w:val="center" w:pos="4320"/>
        <w:tab w:val="right" w:pos="8640"/>
      </w:tabs>
    </w:pPr>
  </w:style>
  <w:style w:type="character" w:styleId="PageNumber">
    <w:name w:val="page number"/>
    <w:basedOn w:val="DefaultParagraphFont"/>
    <w:rsid w:val="00CD0035"/>
  </w:style>
  <w:style w:type="paragraph" w:customStyle="1" w:styleId="Subsectiona">
    <w:name w:val="Subsection (a)"/>
    <w:basedOn w:val="Normal"/>
    <w:rsid w:val="00CD0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rsid w:val="00CD0035"/>
    <w:pPr>
      <w:ind w:left="2160" w:hanging="720"/>
    </w:pPr>
    <w:rPr>
      <w:b w:val="0"/>
    </w:rPr>
  </w:style>
  <w:style w:type="paragraph" w:styleId="BalloonText">
    <w:name w:val="Balloon Text"/>
    <w:basedOn w:val="Normal"/>
    <w:link w:val="BalloonTextChar"/>
    <w:rsid w:val="00F87200"/>
    <w:rPr>
      <w:rFonts w:ascii="Segoe UI" w:hAnsi="Segoe UI" w:cs="Segoe UI"/>
      <w:sz w:val="18"/>
      <w:szCs w:val="18"/>
    </w:rPr>
  </w:style>
  <w:style w:type="character" w:customStyle="1" w:styleId="BalloonTextChar">
    <w:name w:val="Balloon Text Char"/>
    <w:basedOn w:val="DefaultParagraphFont"/>
    <w:link w:val="BalloonText"/>
    <w:rsid w:val="00F87200"/>
    <w:rPr>
      <w:rFonts w:ascii="Segoe UI" w:hAnsi="Segoe UI" w:cs="Segoe UI"/>
      <w:spacing w:val="-3"/>
      <w:sz w:val="18"/>
      <w:szCs w:val="18"/>
    </w:rPr>
  </w:style>
  <w:style w:type="character" w:customStyle="1" w:styleId="apple-converted-space">
    <w:name w:val="apple-converted-space"/>
    <w:basedOn w:val="DefaultParagraphFont"/>
    <w:rsid w:val="00C8601B"/>
  </w:style>
  <w:style w:type="character" w:styleId="Hyperlink">
    <w:name w:val="Hyperlink"/>
    <w:basedOn w:val="DefaultParagraphFont"/>
    <w:uiPriority w:val="99"/>
    <w:unhideWhenUsed/>
    <w:rsid w:val="00C8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amlegal.com/nxt/gateway.dll?f=jumplink$jumplink_x=Advanced$jumplink_vpc=first$jumplink_xsl=querylink.xsl$jumplink_sel=title;path;content-type;home-title;item-bookmark$jumplink_d=maryland(montgom)$jumplink_q=%5bfield%20folio-destination-name:%2752-50%27%5d$jumplink_md=target-id=JD_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Medrano-Rivera, Nubia</cp:lastModifiedBy>
  <cp:revision>7</cp:revision>
  <cp:lastPrinted>2017-02-09T18:35:00Z</cp:lastPrinted>
  <dcterms:created xsi:type="dcterms:W3CDTF">2017-02-15T14:54:00Z</dcterms:created>
  <dcterms:modified xsi:type="dcterms:W3CDTF">2017-02-27T19:18:00Z</dcterms:modified>
</cp:coreProperties>
</file>