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3CD59" w14:textId="403ECFA5" w:rsidR="007F277A" w:rsidRDefault="00765047" w:rsidP="001268D6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2B49AFEB" w14:textId="77777777" w:rsidR="007F277A" w:rsidRPr="00EF045C" w:rsidRDefault="00160E64" w:rsidP="001268D6">
      <w:pPr>
        <w:contextualSpacing/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8752" behindDoc="1" locked="0" layoutInCell="1" allowOverlap="1" wp14:anchorId="49231F8E" wp14:editId="637E6985">
                <wp:simplePos x="0" y="0"/>
                <wp:positionH relativeFrom="column">
                  <wp:posOffset>-571500</wp:posOffset>
                </wp:positionH>
                <wp:positionV relativeFrom="paragraph">
                  <wp:posOffset>-807720</wp:posOffset>
                </wp:positionV>
                <wp:extent cx="981710" cy="776605"/>
                <wp:effectExtent l="0" t="0" r="0" b="0"/>
                <wp:wrapNone/>
                <wp:docPr id="5" name="Canva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3" name="Picture 22" descr="BeigeRin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274" y="31222"/>
                            <a:ext cx="822436" cy="6350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543" y="190443"/>
                            <a:ext cx="281086" cy="2809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470EBA" id="Canvas 5" o:spid="_x0000_s1026" editas="canvas" style="position:absolute;margin-left:-45pt;margin-top:-63.6pt;width:77.3pt;height:61.15pt;z-index:-251657728" coordsize="9817,776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817;height:7766;visibility:visible;mso-wrap-style:square">
                  <v:fill o:detectmouseclick="t"/>
                  <v:path o:connecttype="none"/>
                </v:shape>
                <v:shape id="Picture 22" o:spid="_x0000_s1028" type="#_x0000_t75" alt="BeigeRings" style="position:absolute;left:1592;top:312;width:8225;height:6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">
                  <v:imagedata r:id="rId10" o:title="BeigeRings"/>
                </v:shape>
                <v:shape id="Picture 23" o:spid="_x0000_s1029" type="#_x0000_t75" style="position:absolute;left:1405;top:1904;width:2811;height:2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">
                  <v:imagedata r:id="rId11" o:title=""/>
                </v:shape>
              </v:group>
            </w:pict>
          </mc:Fallback>
        </mc:AlternateContent>
      </w:r>
      <w:r w:rsidR="007F277A" w:rsidRPr="00EF045C">
        <w:rPr>
          <w:b/>
          <w:bCs/>
          <w:sz w:val="28"/>
          <w:szCs w:val="28"/>
        </w:rPr>
        <w:t xml:space="preserve">Healthy </w:t>
      </w:r>
      <w:smartTag w:uri="urn:schemas-microsoft-com:office:smarttags" w:element="City">
        <w:smartTag w:uri="urn:schemas-microsoft-com:office:smarttags" w:element="place">
          <w:r w:rsidR="007F277A" w:rsidRPr="00EF045C">
            <w:rPr>
              <w:b/>
              <w:bCs/>
              <w:sz w:val="28"/>
              <w:szCs w:val="28"/>
            </w:rPr>
            <w:t>Montgomery</w:t>
          </w:r>
        </w:smartTag>
      </w:smartTag>
      <w:r w:rsidR="007F277A" w:rsidRPr="00EF045C">
        <w:rPr>
          <w:b/>
          <w:bCs/>
          <w:sz w:val="28"/>
          <w:szCs w:val="28"/>
        </w:rPr>
        <w:t xml:space="preserve"> Steering Committee Meeting</w:t>
      </w:r>
    </w:p>
    <w:p w14:paraId="44EE8304" w14:textId="1B1D42AE" w:rsidR="007F277A" w:rsidRPr="00CD360C" w:rsidRDefault="36096478" w:rsidP="0061444C">
      <w:pPr>
        <w:contextualSpacing/>
        <w:jc w:val="center"/>
        <w:rPr>
          <w:b/>
          <w:bCs/>
          <w:sz w:val="28"/>
          <w:szCs w:val="28"/>
        </w:rPr>
      </w:pPr>
      <w:r w:rsidRPr="36096478">
        <w:rPr>
          <w:b/>
          <w:bCs/>
          <w:sz w:val="28"/>
          <w:szCs w:val="28"/>
        </w:rPr>
        <w:t xml:space="preserve">Meeting Conducted at Kaplan University Learning Center </w:t>
      </w:r>
    </w:p>
    <w:p w14:paraId="4C93D7D7" w14:textId="64244570" w:rsidR="00CD360C" w:rsidRPr="00CD360C" w:rsidRDefault="36096478" w:rsidP="0061444C">
      <w:pPr>
        <w:contextualSpacing/>
        <w:jc w:val="center"/>
        <w:rPr>
          <w:b/>
          <w:bCs/>
          <w:sz w:val="28"/>
          <w:szCs w:val="28"/>
        </w:rPr>
      </w:pPr>
      <w:r w:rsidRPr="36096478">
        <w:rPr>
          <w:b/>
          <w:bCs/>
          <w:sz w:val="28"/>
          <w:szCs w:val="28"/>
        </w:rPr>
        <w:t>1390 Piccard Drive Rockville, MD 20850</w:t>
      </w:r>
    </w:p>
    <w:p w14:paraId="0D251695" w14:textId="1D9C8BE5" w:rsidR="007F277A" w:rsidRPr="00EF045C" w:rsidRDefault="36096478" w:rsidP="00921A79">
      <w:pPr>
        <w:contextualSpacing/>
        <w:jc w:val="center"/>
        <w:rPr>
          <w:b/>
          <w:bCs/>
          <w:sz w:val="28"/>
          <w:szCs w:val="28"/>
        </w:rPr>
      </w:pPr>
      <w:r w:rsidRPr="36096478">
        <w:rPr>
          <w:b/>
          <w:bCs/>
          <w:sz w:val="28"/>
          <w:szCs w:val="28"/>
        </w:rPr>
        <w:t xml:space="preserve">Monday, </w:t>
      </w:r>
      <w:r w:rsidR="000F3198">
        <w:rPr>
          <w:b/>
          <w:bCs/>
          <w:sz w:val="28"/>
          <w:szCs w:val="28"/>
        </w:rPr>
        <w:t>June 12</w:t>
      </w:r>
      <w:r w:rsidRPr="36096478">
        <w:rPr>
          <w:b/>
          <w:bCs/>
          <w:sz w:val="28"/>
          <w:szCs w:val="28"/>
        </w:rPr>
        <w:t>, 201</w:t>
      </w:r>
      <w:r w:rsidR="00A22579">
        <w:rPr>
          <w:b/>
          <w:bCs/>
          <w:sz w:val="28"/>
          <w:szCs w:val="28"/>
        </w:rPr>
        <w:t>7</w:t>
      </w:r>
      <w:r w:rsidRPr="36096478">
        <w:rPr>
          <w:b/>
          <w:bCs/>
          <w:sz w:val="28"/>
          <w:szCs w:val="28"/>
        </w:rPr>
        <w:t xml:space="preserve"> ■ 6:00PM-8:00PM  </w:t>
      </w:r>
    </w:p>
    <w:p w14:paraId="62E01BB5" w14:textId="77777777" w:rsidR="007F277A" w:rsidRPr="008D3EE9" w:rsidRDefault="007F277A" w:rsidP="001268D6">
      <w:pPr>
        <w:contextualSpacing/>
        <w:jc w:val="center"/>
        <w:rPr>
          <w:b/>
          <w:bCs/>
        </w:rPr>
      </w:pPr>
      <w:r w:rsidRPr="008D3EE9">
        <w:rPr>
          <w:b/>
          <w:bCs/>
        </w:rPr>
        <w:t xml:space="preserve"> </w:t>
      </w:r>
    </w:p>
    <w:p w14:paraId="24A56852" w14:textId="2A0CA5DC" w:rsidR="007F277A" w:rsidRDefault="36096478" w:rsidP="000F3198">
      <w:pPr>
        <w:pStyle w:val="NoSpacing"/>
      </w:pPr>
      <w:r w:rsidRPr="00931E5B">
        <w:rPr>
          <w:b/>
          <w:bCs/>
        </w:rPr>
        <w:t>Members and Alternates Present:</w:t>
      </w:r>
      <w:r w:rsidR="00AE4496" w:rsidRPr="00931E5B">
        <w:t xml:space="preserve">  Uma Ahluwalia</w:t>
      </w:r>
      <w:r w:rsidR="00E474AB" w:rsidRPr="00931E5B">
        <w:t xml:space="preserve">, </w:t>
      </w:r>
      <w:r w:rsidR="000F3198">
        <w:t>Raymond Crowel, Jackie DeCarlo</w:t>
      </w:r>
      <w:r w:rsidRPr="00931E5B">
        <w:t xml:space="preserve">, Leslie Graham, </w:t>
      </w:r>
      <w:r w:rsidR="000C6F98">
        <w:t xml:space="preserve">Michelle Hawkins, </w:t>
      </w:r>
      <w:r w:rsidRPr="00931E5B">
        <w:t>George Leventhal, Amy Lindsey, Dairy Marroquin, Kimberley McBride</w:t>
      </w:r>
      <w:r w:rsidR="000F3198">
        <w:t xml:space="preserve"> (phone)</w:t>
      </w:r>
      <w:r w:rsidRPr="00931E5B">
        <w:t>,</w:t>
      </w:r>
      <w:r w:rsidR="002F5406" w:rsidRPr="00931E5B">
        <w:t xml:space="preserve"> </w:t>
      </w:r>
      <w:r w:rsidR="000C6F98" w:rsidRPr="00931E5B">
        <w:t>Kathy McCallum</w:t>
      </w:r>
      <w:r w:rsidR="000C6F98">
        <w:t xml:space="preserve"> (phone)</w:t>
      </w:r>
      <w:r w:rsidR="000C6F98" w:rsidRPr="00931E5B">
        <w:t>, Beatrice Miller</w:t>
      </w:r>
      <w:r w:rsidR="000C6F98">
        <w:t>,</w:t>
      </w:r>
      <w:r w:rsidR="000C6F98" w:rsidRPr="00931E5B">
        <w:t xml:space="preserve"> </w:t>
      </w:r>
      <w:r w:rsidR="002F5406" w:rsidRPr="00931E5B">
        <w:t>Rachel Newhouse</w:t>
      </w:r>
      <w:r w:rsidR="00AD027F" w:rsidRPr="00931E5B">
        <w:t xml:space="preserve">, </w:t>
      </w:r>
      <w:r w:rsidR="002F5406" w:rsidRPr="00931E5B">
        <w:t xml:space="preserve">Nguyen </w:t>
      </w:r>
      <w:r w:rsidR="000C6F98">
        <w:t xml:space="preserve">K. </w:t>
      </w:r>
      <w:r w:rsidR="002F5406" w:rsidRPr="00931E5B">
        <w:t xml:space="preserve">Nguyen, </w:t>
      </w:r>
      <w:r w:rsidR="000C6F98" w:rsidRPr="00931E5B">
        <w:t>Samuel Oji</w:t>
      </w:r>
      <w:r w:rsidR="000C6F98">
        <w:t>,</w:t>
      </w:r>
      <w:r w:rsidR="000C6F98" w:rsidRPr="00931E5B">
        <w:t xml:space="preserve"> </w:t>
      </w:r>
      <w:r w:rsidR="000C6F98">
        <w:t>C</w:t>
      </w:r>
      <m:oMath>
        <m:acc>
          <m:accPr>
            <m:chr m:val="́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e</m:t>
            </m:r>
          </m:e>
        </m:acc>
      </m:oMath>
      <w:r w:rsidR="000C6F98" w:rsidRPr="00931E5B">
        <w:t>sar Palacios</w:t>
      </w:r>
      <w:r w:rsidR="000C6F98">
        <w:t>,</w:t>
      </w:r>
      <w:r w:rsidR="000C6F98" w:rsidRPr="00931E5B">
        <w:t xml:space="preserve"> </w:t>
      </w:r>
      <w:r w:rsidR="002F5406" w:rsidRPr="00931E5B">
        <w:t>Joanne Roberts</w:t>
      </w:r>
      <w:r w:rsidR="00E474AB" w:rsidRPr="00931E5B">
        <w:t xml:space="preserve">, </w:t>
      </w:r>
      <w:r w:rsidR="000C6F98" w:rsidRPr="00931E5B">
        <w:t>Michael Stoto</w:t>
      </w:r>
      <w:r w:rsidR="000C6F98">
        <w:t xml:space="preserve"> (phone)</w:t>
      </w:r>
      <w:r w:rsidR="000C6F98" w:rsidRPr="00931E5B">
        <w:t xml:space="preserve">, </w:t>
      </w:r>
      <w:r w:rsidR="00E474AB" w:rsidRPr="00931E5B">
        <w:t>J. Henry Montes</w:t>
      </w:r>
      <w:r w:rsidR="00B522DD" w:rsidRPr="00931E5B">
        <w:t>, Myriam Torrico</w:t>
      </w:r>
      <w:r w:rsidR="002F5406" w:rsidRPr="00931E5B">
        <w:t>,</w:t>
      </w:r>
      <w:r w:rsidR="000C6F98">
        <w:t xml:space="preserve"> Gina Maxham</w:t>
      </w:r>
      <w:r w:rsidR="008C19B0" w:rsidRPr="00931E5B">
        <w:t xml:space="preserve">, </w:t>
      </w:r>
      <w:r w:rsidR="000F3198" w:rsidRPr="00931E5B">
        <w:t>Kate McGrail</w:t>
      </w:r>
      <w:r w:rsidR="000C6F98">
        <w:t>, Elizabeth Rathbone</w:t>
      </w:r>
    </w:p>
    <w:p w14:paraId="3E48B49F" w14:textId="77777777" w:rsidR="000F3198" w:rsidRPr="000F3198" w:rsidRDefault="000F3198" w:rsidP="000F3198">
      <w:pPr>
        <w:pStyle w:val="NoSpacing"/>
      </w:pPr>
    </w:p>
    <w:p w14:paraId="789FDB71" w14:textId="616993C2" w:rsidR="007F277A" w:rsidRPr="00931E5B" w:rsidRDefault="36096478" w:rsidP="001268D6">
      <w:pPr>
        <w:pStyle w:val="BodyText"/>
        <w:spacing w:after="0"/>
      </w:pPr>
      <w:r w:rsidRPr="00931E5B">
        <w:rPr>
          <w:b/>
          <w:bCs/>
        </w:rPr>
        <w:t>Healthy Montgomery Staff:</w:t>
      </w:r>
      <w:r w:rsidRPr="00931E5B">
        <w:t xml:space="preserve">  Dourakine Rosarion, Hira Chowdhary, Karen Thompkins</w:t>
      </w:r>
    </w:p>
    <w:p w14:paraId="27B26D19" w14:textId="77777777" w:rsidR="007F277A" w:rsidRPr="00931E5B" w:rsidRDefault="007F277A" w:rsidP="001268D6">
      <w:pPr>
        <w:pStyle w:val="BodyText"/>
        <w:spacing w:after="0"/>
        <w:rPr>
          <w:b/>
          <w:bCs/>
        </w:rPr>
      </w:pPr>
    </w:p>
    <w:p w14:paraId="0310130E" w14:textId="430B51F4" w:rsidR="007F277A" w:rsidRPr="00931E5B" w:rsidRDefault="36096478" w:rsidP="001268D6">
      <w:pPr>
        <w:pStyle w:val="BodyText"/>
        <w:spacing w:after="0"/>
        <w:rPr>
          <w:bCs/>
        </w:rPr>
      </w:pPr>
      <w:r w:rsidRPr="00931E5B">
        <w:rPr>
          <w:b/>
          <w:bCs/>
        </w:rPr>
        <w:t xml:space="preserve">IPHI Staff:  </w:t>
      </w:r>
      <w:r w:rsidR="00A22579" w:rsidRPr="00931E5B">
        <w:t>Michael Rhein</w:t>
      </w:r>
      <w:r w:rsidR="000F3198">
        <w:t xml:space="preserve">, Michelle Caruso </w:t>
      </w:r>
    </w:p>
    <w:p w14:paraId="1AB7B1B1" w14:textId="77777777" w:rsidR="007F277A" w:rsidRPr="00931E5B" w:rsidRDefault="007F277A" w:rsidP="001268D6">
      <w:pPr>
        <w:pStyle w:val="BodyText"/>
        <w:spacing w:after="0"/>
        <w:rPr>
          <w:bCs/>
        </w:rPr>
      </w:pPr>
    </w:p>
    <w:p w14:paraId="58C3711F" w14:textId="136EEE1F" w:rsidR="00AE4496" w:rsidRPr="00931E5B" w:rsidRDefault="36096478" w:rsidP="008C19B0">
      <w:pPr>
        <w:pStyle w:val="NoSpacing"/>
      </w:pPr>
      <w:r w:rsidRPr="00931E5B">
        <w:rPr>
          <w:b/>
          <w:bCs/>
        </w:rPr>
        <w:t>Guests</w:t>
      </w:r>
      <w:r w:rsidRPr="00931E5B">
        <w:t xml:space="preserve">: </w:t>
      </w:r>
      <w:r w:rsidR="0009799B" w:rsidRPr="0009799B">
        <w:t>Jaclyn Riedel</w:t>
      </w:r>
      <w:r w:rsidR="008C6A07">
        <w:t>, Kevin Young</w:t>
      </w:r>
      <w:r w:rsidR="00E84AD3">
        <w:t>,</w:t>
      </w:r>
      <w:r w:rsidR="008C6A07" w:rsidRPr="00931E5B">
        <w:t xml:space="preserve"> </w:t>
      </w:r>
      <w:r w:rsidR="008C19B0" w:rsidRPr="00931E5B">
        <w:t xml:space="preserve">Chunfu Liu, </w:t>
      </w:r>
      <w:r w:rsidR="008C6A07" w:rsidRPr="00931E5B">
        <w:t>Sanjana Quasem</w:t>
      </w:r>
      <w:r w:rsidR="008C6A07">
        <w:t>, Rachael Ruffin</w:t>
      </w:r>
      <w:r w:rsidR="008C6A07" w:rsidRPr="00931E5B">
        <w:t xml:space="preserve"> </w:t>
      </w:r>
      <w:r w:rsidR="008C6A07">
        <w:t xml:space="preserve">Jeff Goldman, </w:t>
      </w:r>
      <w:r w:rsidR="008C6A07" w:rsidRPr="00931E5B">
        <w:t>Sara Demetriou</w:t>
      </w:r>
      <w:r w:rsidR="00E474AB" w:rsidRPr="00931E5B">
        <w:t xml:space="preserve">, </w:t>
      </w:r>
      <w:r w:rsidR="008C6A07">
        <w:t>Jaclyn Riedel, Diana Saladini</w:t>
      </w:r>
    </w:p>
    <w:p w14:paraId="14289039" w14:textId="2292B6C4" w:rsidR="007F277A" w:rsidRPr="00C211CF" w:rsidRDefault="007F277A" w:rsidP="006F0745"/>
    <w:p w14:paraId="50BAE0A4" w14:textId="7D72C469" w:rsidR="007F277A" w:rsidRDefault="007F277A" w:rsidP="36096478">
      <w:pPr>
        <w:pStyle w:val="msolistparagraph0"/>
        <w:rPr>
          <w:rFonts w:ascii="Times New Roman" w:hAnsi="Times New Roman"/>
          <w:b/>
          <w:bCs/>
          <w:sz w:val="24"/>
          <w:szCs w:val="24"/>
        </w:rPr>
      </w:pPr>
    </w:p>
    <w:p w14:paraId="7FB856A5" w14:textId="513D2BB5" w:rsidR="007F277A" w:rsidRDefault="36096478" w:rsidP="001268D6">
      <w:pPr>
        <w:pStyle w:val="msolistparagraph0"/>
        <w:ind w:left="0"/>
        <w:rPr>
          <w:rFonts w:ascii="Times New Roman" w:hAnsi="Times New Roman"/>
          <w:b/>
          <w:bCs/>
          <w:sz w:val="24"/>
          <w:szCs w:val="24"/>
        </w:rPr>
      </w:pPr>
      <w:r w:rsidRPr="36096478">
        <w:rPr>
          <w:rFonts w:ascii="Times New Roman" w:hAnsi="Times New Roman"/>
          <w:b/>
          <w:bCs/>
          <w:sz w:val="24"/>
          <w:szCs w:val="24"/>
        </w:rPr>
        <w:t>Meeting materials made available online or provided at the meeting:</w:t>
      </w:r>
    </w:p>
    <w:p w14:paraId="5DE0E782" w14:textId="49006CFB" w:rsidR="007F277A" w:rsidRPr="0021439A" w:rsidRDefault="000F3198" w:rsidP="36096478">
      <w:pPr>
        <w:pStyle w:val="msolistparagraph0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June 12</w:t>
      </w:r>
      <w:r w:rsidR="006F1185">
        <w:rPr>
          <w:rFonts w:ascii="Times New Roman" w:hAnsi="Times New Roman"/>
          <w:sz w:val="24"/>
          <w:szCs w:val="24"/>
        </w:rPr>
        <w:t xml:space="preserve">, </w:t>
      </w:r>
      <w:r w:rsidR="00A22579">
        <w:rPr>
          <w:rFonts w:ascii="Times New Roman" w:hAnsi="Times New Roman"/>
          <w:sz w:val="24"/>
          <w:szCs w:val="24"/>
        </w:rPr>
        <w:t xml:space="preserve">2017 Meeting </w:t>
      </w:r>
      <w:r w:rsidR="36096478" w:rsidRPr="36096478">
        <w:rPr>
          <w:rFonts w:ascii="Times New Roman" w:hAnsi="Times New Roman"/>
          <w:sz w:val="24"/>
          <w:szCs w:val="24"/>
        </w:rPr>
        <w:t>Agenda</w:t>
      </w:r>
    </w:p>
    <w:p w14:paraId="48F5AD66" w14:textId="1314E1E7" w:rsidR="007F277A" w:rsidRDefault="36096478" w:rsidP="36096478">
      <w:pPr>
        <w:pStyle w:val="msolistparagraph0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6096478">
        <w:rPr>
          <w:rFonts w:ascii="Times New Roman" w:hAnsi="Times New Roman"/>
          <w:sz w:val="24"/>
          <w:szCs w:val="24"/>
        </w:rPr>
        <w:t xml:space="preserve">HMSC </w:t>
      </w:r>
      <w:r w:rsidR="00E84AD3">
        <w:rPr>
          <w:rFonts w:ascii="Times New Roman" w:hAnsi="Times New Roman"/>
          <w:sz w:val="24"/>
          <w:szCs w:val="24"/>
        </w:rPr>
        <w:t>April 3</w:t>
      </w:r>
      <w:r w:rsidR="00A22579">
        <w:rPr>
          <w:rFonts w:ascii="Times New Roman" w:hAnsi="Times New Roman"/>
          <w:sz w:val="24"/>
          <w:szCs w:val="24"/>
        </w:rPr>
        <w:t>, 201</w:t>
      </w:r>
      <w:r w:rsidR="00E84AD3">
        <w:rPr>
          <w:rFonts w:ascii="Times New Roman" w:hAnsi="Times New Roman"/>
          <w:sz w:val="24"/>
          <w:szCs w:val="24"/>
        </w:rPr>
        <w:t>7</w:t>
      </w:r>
      <w:r w:rsidR="00A22579" w:rsidRPr="36096478">
        <w:rPr>
          <w:rFonts w:ascii="Times New Roman" w:hAnsi="Times New Roman"/>
          <w:sz w:val="24"/>
          <w:szCs w:val="24"/>
        </w:rPr>
        <w:t xml:space="preserve"> </w:t>
      </w:r>
      <w:r w:rsidRPr="36096478">
        <w:rPr>
          <w:rFonts w:ascii="Times New Roman" w:hAnsi="Times New Roman"/>
          <w:sz w:val="24"/>
          <w:szCs w:val="24"/>
        </w:rPr>
        <w:t xml:space="preserve">Draft Meeting Minutes for Approval </w:t>
      </w:r>
    </w:p>
    <w:p w14:paraId="25CA6306" w14:textId="264E1304" w:rsidR="009A71D7" w:rsidRDefault="009A71D7" w:rsidP="36096478">
      <w:pPr>
        <w:pStyle w:val="msolistparagraph0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Healthy Montgomery CHIP Workgroup Update </w:t>
      </w:r>
    </w:p>
    <w:p w14:paraId="56119DA0" w14:textId="77777777" w:rsidR="00E563B1" w:rsidRPr="00E563B1" w:rsidRDefault="00E563B1" w:rsidP="00E563B1">
      <w:pPr>
        <w:pStyle w:val="msolistparagraph0"/>
        <w:rPr>
          <w:rFonts w:ascii="Times New Roman" w:hAnsi="Times New Roman"/>
          <w:bCs/>
          <w:sz w:val="24"/>
          <w:szCs w:val="24"/>
        </w:rPr>
      </w:pPr>
    </w:p>
    <w:tbl>
      <w:tblPr>
        <w:tblW w:w="1392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7685"/>
        <w:gridCol w:w="1800"/>
        <w:gridCol w:w="1800"/>
      </w:tblGrid>
      <w:tr w:rsidR="00A014F8" w:rsidRPr="002C6302" w14:paraId="1AB07446" w14:textId="77777777" w:rsidTr="002A305D">
        <w:trPr>
          <w:trHeight w:val="620"/>
          <w:tblHeader/>
        </w:trPr>
        <w:tc>
          <w:tcPr>
            <w:tcW w:w="0" w:type="auto"/>
            <w:vAlign w:val="bottom"/>
          </w:tcPr>
          <w:p w14:paraId="1409F47B" w14:textId="77777777" w:rsidR="007F277A" w:rsidRPr="00682B7B" w:rsidRDefault="36096478" w:rsidP="008F494B">
            <w:pPr>
              <w:jc w:val="center"/>
              <w:rPr>
                <w:b/>
                <w:bCs/>
              </w:rPr>
            </w:pPr>
            <w:r w:rsidRPr="36096478">
              <w:rPr>
                <w:b/>
                <w:bCs/>
              </w:rPr>
              <w:t>Topic/Presenter</w:t>
            </w:r>
          </w:p>
        </w:tc>
        <w:tc>
          <w:tcPr>
            <w:tcW w:w="7685" w:type="dxa"/>
            <w:vAlign w:val="bottom"/>
          </w:tcPr>
          <w:p w14:paraId="5CF4BEAA" w14:textId="77777777" w:rsidR="007F277A" w:rsidRPr="00682B7B" w:rsidRDefault="36096478" w:rsidP="008F494B">
            <w:pPr>
              <w:jc w:val="center"/>
              <w:rPr>
                <w:b/>
                <w:bCs/>
                <w:i/>
                <w:iCs/>
              </w:rPr>
            </w:pPr>
            <w:r w:rsidRPr="36096478">
              <w:rPr>
                <w:b/>
                <w:bCs/>
              </w:rPr>
              <w:t>Key Points</w:t>
            </w:r>
          </w:p>
        </w:tc>
        <w:tc>
          <w:tcPr>
            <w:tcW w:w="1800" w:type="dxa"/>
            <w:vAlign w:val="bottom"/>
          </w:tcPr>
          <w:p w14:paraId="34437180" w14:textId="77777777" w:rsidR="007F277A" w:rsidRPr="00682B7B" w:rsidRDefault="36096478" w:rsidP="008F494B">
            <w:pPr>
              <w:jc w:val="center"/>
              <w:rPr>
                <w:b/>
                <w:bCs/>
              </w:rPr>
            </w:pPr>
            <w:r w:rsidRPr="36096478">
              <w:rPr>
                <w:b/>
                <w:bCs/>
              </w:rPr>
              <w:t>Action Item(s)</w:t>
            </w:r>
          </w:p>
        </w:tc>
        <w:tc>
          <w:tcPr>
            <w:tcW w:w="1800" w:type="dxa"/>
          </w:tcPr>
          <w:p w14:paraId="1A660B00" w14:textId="77777777" w:rsidR="007F277A" w:rsidRPr="00682B7B" w:rsidRDefault="36096478" w:rsidP="008F494B">
            <w:pPr>
              <w:jc w:val="center"/>
              <w:rPr>
                <w:b/>
                <w:bCs/>
              </w:rPr>
            </w:pPr>
            <w:r w:rsidRPr="36096478">
              <w:rPr>
                <w:b/>
                <w:bCs/>
              </w:rPr>
              <w:t xml:space="preserve">Responsible </w:t>
            </w:r>
          </w:p>
          <w:p w14:paraId="57C0CE20" w14:textId="77777777" w:rsidR="007F277A" w:rsidRPr="00682B7B" w:rsidRDefault="36096478" w:rsidP="008F494B">
            <w:pPr>
              <w:jc w:val="center"/>
              <w:rPr>
                <w:b/>
                <w:bCs/>
              </w:rPr>
            </w:pPr>
            <w:r w:rsidRPr="36096478">
              <w:rPr>
                <w:b/>
                <w:bCs/>
              </w:rPr>
              <w:t>Person</w:t>
            </w:r>
          </w:p>
        </w:tc>
      </w:tr>
      <w:tr w:rsidR="00A014F8" w:rsidRPr="002C6302" w14:paraId="77BFC82A" w14:textId="77777777" w:rsidTr="002A305D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80FD" w14:textId="77777777" w:rsidR="00617DFF" w:rsidRDefault="00617DFF" w:rsidP="008F494B">
            <w:pPr>
              <w:contextualSpacing/>
              <w:rPr>
                <w:b/>
                <w:bCs/>
              </w:rPr>
            </w:pPr>
          </w:p>
          <w:p w14:paraId="7E696250" w14:textId="587EA973" w:rsidR="007F277A" w:rsidRPr="0011139C" w:rsidRDefault="36096478" w:rsidP="008F494B">
            <w:pPr>
              <w:contextualSpacing/>
              <w:rPr>
                <w:b/>
                <w:bCs/>
              </w:rPr>
            </w:pPr>
            <w:r w:rsidRPr="36096478">
              <w:rPr>
                <w:b/>
                <w:bCs/>
              </w:rPr>
              <w:t xml:space="preserve">Welcome and </w:t>
            </w:r>
            <w:r w:rsidR="00EB6701">
              <w:rPr>
                <w:b/>
                <w:bCs/>
              </w:rPr>
              <w:t>Opening Remarks</w:t>
            </w:r>
            <w:r w:rsidRPr="36096478">
              <w:rPr>
                <w:b/>
                <w:bCs/>
              </w:rPr>
              <w:t xml:space="preserve">, </w:t>
            </w:r>
          </w:p>
          <w:p w14:paraId="568B8988" w14:textId="66D5D670" w:rsidR="007F277A" w:rsidRPr="004013F4" w:rsidRDefault="36096478" w:rsidP="008D03E7">
            <w:pPr>
              <w:contextualSpacing/>
              <w:rPr>
                <w:i/>
                <w:iCs/>
              </w:rPr>
            </w:pPr>
            <w:r w:rsidRPr="36096478">
              <w:rPr>
                <w:i/>
                <w:iCs/>
              </w:rPr>
              <w:t xml:space="preserve">Co-Chairs Councilmember G. Leventhal and J. DeCarlo  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F183" w14:textId="77777777" w:rsidR="00EC28AD" w:rsidRDefault="00EC28AD" w:rsidP="00DF0246">
            <w:pPr>
              <w:tabs>
                <w:tab w:val="left" w:pos="432"/>
              </w:tabs>
              <w:contextualSpacing/>
              <w:rPr>
                <w:bCs/>
              </w:rPr>
            </w:pPr>
          </w:p>
          <w:p w14:paraId="79596E51" w14:textId="494B1FED" w:rsidR="005C778D" w:rsidRDefault="008121B7" w:rsidP="00DF0246">
            <w:pPr>
              <w:tabs>
                <w:tab w:val="left" w:pos="432"/>
              </w:tabs>
              <w:contextualSpacing/>
              <w:rPr>
                <w:bCs/>
              </w:rPr>
            </w:pPr>
            <w:r>
              <w:rPr>
                <w:bCs/>
              </w:rPr>
              <w:t xml:space="preserve">Meeting called to order </w:t>
            </w:r>
            <w:r w:rsidRPr="008121B7">
              <w:rPr>
                <w:bCs/>
              </w:rPr>
              <w:t>by</w:t>
            </w:r>
            <w:r w:rsidR="00AD25F2">
              <w:rPr>
                <w:bCs/>
              </w:rPr>
              <w:t xml:space="preserve"> Co-Chair </w:t>
            </w:r>
            <w:r>
              <w:rPr>
                <w:bCs/>
              </w:rPr>
              <w:t>Leventhal at 6:05</w:t>
            </w:r>
            <w:r w:rsidR="000B6024">
              <w:rPr>
                <w:bCs/>
              </w:rPr>
              <w:t xml:space="preserve"> p</w:t>
            </w:r>
            <w:r>
              <w:rPr>
                <w:bCs/>
              </w:rPr>
              <w:t>.</w:t>
            </w:r>
            <w:r w:rsidR="000B6024">
              <w:rPr>
                <w:bCs/>
              </w:rPr>
              <w:t>m.</w:t>
            </w:r>
            <w:r w:rsidR="0087145E">
              <w:rPr>
                <w:bCs/>
              </w:rPr>
              <w:t xml:space="preserve"> </w:t>
            </w:r>
            <w:r w:rsidR="003A651B">
              <w:rPr>
                <w:bCs/>
              </w:rPr>
              <w:t>Meeting attendees introduced themselves.</w:t>
            </w:r>
            <w:r w:rsidR="0087145E">
              <w:rPr>
                <w:bCs/>
              </w:rPr>
              <w:t xml:space="preserve"> </w:t>
            </w:r>
            <w:r w:rsidR="003A651B">
              <w:rPr>
                <w:bCs/>
              </w:rPr>
              <w:t xml:space="preserve"> </w:t>
            </w:r>
          </w:p>
          <w:p w14:paraId="39473B6F" w14:textId="77777777" w:rsidR="008121B7" w:rsidRDefault="008121B7" w:rsidP="00DF0246">
            <w:pPr>
              <w:tabs>
                <w:tab w:val="left" w:pos="432"/>
              </w:tabs>
              <w:contextualSpacing/>
              <w:rPr>
                <w:bCs/>
              </w:rPr>
            </w:pPr>
          </w:p>
          <w:p w14:paraId="7FB7083D" w14:textId="6F131663" w:rsidR="00AD25F2" w:rsidRPr="0011139C" w:rsidRDefault="00AD25F2" w:rsidP="00EC28AD">
            <w:pPr>
              <w:tabs>
                <w:tab w:val="left" w:pos="432"/>
              </w:tabs>
              <w:contextualSpacing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05EC" w14:textId="77777777" w:rsidR="007F277A" w:rsidRPr="002C6302" w:rsidRDefault="007F277A" w:rsidP="008F494B">
            <w:pPr>
              <w:rPr>
                <w:b/>
                <w:bCs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E8A8" w14:textId="77777777" w:rsidR="007F277A" w:rsidRPr="002C6302" w:rsidRDefault="007F277A" w:rsidP="008F494B">
            <w:pPr>
              <w:rPr>
                <w:b/>
                <w:bCs/>
                <w:highlight w:val="yellow"/>
              </w:rPr>
            </w:pPr>
          </w:p>
          <w:p w14:paraId="6EA1382A" w14:textId="77777777" w:rsidR="007F277A" w:rsidRPr="002C6302" w:rsidRDefault="007F277A" w:rsidP="008F494B">
            <w:pPr>
              <w:rPr>
                <w:b/>
                <w:bCs/>
                <w:highlight w:val="yellow"/>
              </w:rPr>
            </w:pPr>
          </w:p>
          <w:p w14:paraId="39F499DF" w14:textId="77777777" w:rsidR="007F277A" w:rsidRPr="002C6302" w:rsidRDefault="007F277A" w:rsidP="008F494B">
            <w:pPr>
              <w:rPr>
                <w:b/>
                <w:bCs/>
                <w:highlight w:val="yellow"/>
              </w:rPr>
            </w:pPr>
          </w:p>
        </w:tc>
      </w:tr>
      <w:tr w:rsidR="00A014F8" w:rsidRPr="002C6302" w14:paraId="205FA075" w14:textId="77777777" w:rsidTr="002A305D">
        <w:trPr>
          <w:trHeight w:val="540"/>
        </w:trPr>
        <w:tc>
          <w:tcPr>
            <w:tcW w:w="0" w:type="auto"/>
            <w:tcBorders>
              <w:bottom w:val="single" w:sz="4" w:space="0" w:color="808080" w:themeColor="text1" w:themeTint="7F"/>
            </w:tcBorders>
            <w:shd w:val="clear" w:color="auto" w:fill="auto"/>
          </w:tcPr>
          <w:p w14:paraId="4D75797A" w14:textId="77777777" w:rsidR="00617DFF" w:rsidRDefault="00617DFF" w:rsidP="00BA097E">
            <w:pPr>
              <w:contextualSpacing/>
              <w:rPr>
                <w:b/>
                <w:bCs/>
              </w:rPr>
            </w:pPr>
          </w:p>
          <w:p w14:paraId="112DD4FA" w14:textId="5EB8AFD7" w:rsidR="00BA097E" w:rsidRPr="0011139C" w:rsidRDefault="00A833E5" w:rsidP="00BA097E">
            <w:pPr>
              <w:contextualSpacing/>
              <w:rPr>
                <w:b/>
                <w:bCs/>
              </w:rPr>
            </w:pPr>
            <w:r w:rsidRPr="00A833E5">
              <w:rPr>
                <w:b/>
                <w:bCs/>
              </w:rPr>
              <w:t xml:space="preserve">Approval of </w:t>
            </w:r>
            <w:r w:rsidR="00C32969">
              <w:rPr>
                <w:b/>
                <w:bCs/>
              </w:rPr>
              <w:t>April 3, 2017</w:t>
            </w:r>
            <w:r w:rsidR="008C19B0">
              <w:rPr>
                <w:b/>
                <w:bCs/>
              </w:rPr>
              <w:t xml:space="preserve"> </w:t>
            </w:r>
            <w:r w:rsidRPr="00A833E5">
              <w:rPr>
                <w:b/>
                <w:bCs/>
              </w:rPr>
              <w:t>Minutes</w:t>
            </w:r>
            <w:r w:rsidR="00FB4835">
              <w:rPr>
                <w:b/>
                <w:bCs/>
              </w:rPr>
              <w:t xml:space="preserve"> - Action Item</w:t>
            </w:r>
            <w:r w:rsidR="36096478" w:rsidRPr="36096478">
              <w:rPr>
                <w:b/>
                <w:bCs/>
              </w:rPr>
              <w:t>,</w:t>
            </w:r>
          </w:p>
          <w:p w14:paraId="52F15165" w14:textId="365EF086" w:rsidR="006E7894" w:rsidRPr="00EC28AD" w:rsidRDefault="36096478" w:rsidP="008F494B">
            <w:pPr>
              <w:contextualSpacing/>
              <w:rPr>
                <w:i/>
                <w:iCs/>
              </w:rPr>
            </w:pPr>
            <w:r w:rsidRPr="36096478">
              <w:rPr>
                <w:i/>
                <w:iCs/>
              </w:rPr>
              <w:t xml:space="preserve">Co-Chairs Councilmember G. Leventhal and J. DeCarlo  </w:t>
            </w:r>
          </w:p>
        </w:tc>
        <w:tc>
          <w:tcPr>
            <w:tcW w:w="7685" w:type="dxa"/>
            <w:tcBorders>
              <w:bottom w:val="single" w:sz="4" w:space="0" w:color="808080" w:themeColor="text1" w:themeTint="7F"/>
            </w:tcBorders>
          </w:tcPr>
          <w:p w14:paraId="7C4276AD" w14:textId="77777777" w:rsidR="00EC28AD" w:rsidRDefault="00EC28AD" w:rsidP="00A973B8">
            <w:pPr>
              <w:keepNext/>
              <w:keepLines/>
              <w:contextualSpacing/>
              <w:rPr>
                <w:bCs/>
              </w:rPr>
            </w:pPr>
          </w:p>
          <w:p w14:paraId="341A0E4D" w14:textId="196C0E69" w:rsidR="0087145E" w:rsidRPr="0039366B" w:rsidRDefault="0087145E" w:rsidP="00A973B8">
            <w:pPr>
              <w:keepNext/>
              <w:keepLines/>
              <w:contextualSpacing/>
              <w:rPr>
                <w:bCs/>
              </w:rPr>
            </w:pPr>
            <w:r>
              <w:rPr>
                <w:bCs/>
              </w:rPr>
              <w:t xml:space="preserve">The recorded quorum count from the April 3 session </w:t>
            </w:r>
            <w:r w:rsidRPr="0039366B">
              <w:rPr>
                <w:bCs/>
              </w:rPr>
              <w:t>was confirmed.</w:t>
            </w:r>
          </w:p>
          <w:p w14:paraId="5C94C592" w14:textId="16D3AAA1" w:rsidR="00B33E1F" w:rsidRPr="008121B7" w:rsidRDefault="008121B7" w:rsidP="00A973B8">
            <w:pPr>
              <w:keepNext/>
              <w:keepLines/>
              <w:contextualSpacing/>
              <w:rPr>
                <w:bCs/>
              </w:rPr>
            </w:pPr>
            <w:r w:rsidRPr="0039366B">
              <w:rPr>
                <w:bCs/>
              </w:rPr>
              <w:t xml:space="preserve">A motion to approve the minutes was made by Co-Chair DeCarlo and </w:t>
            </w:r>
            <w:r w:rsidRPr="008121B7">
              <w:rPr>
                <w:bCs/>
              </w:rPr>
              <w:t xml:space="preserve">seconded by </w:t>
            </w:r>
            <w:r w:rsidR="00E84AD3">
              <w:rPr>
                <w:bCs/>
              </w:rPr>
              <w:t>D</w:t>
            </w:r>
            <w:r w:rsidR="009A71D7">
              <w:rPr>
                <w:bCs/>
              </w:rPr>
              <w:t xml:space="preserve">r. </w:t>
            </w:r>
            <w:r w:rsidR="00E84AD3">
              <w:t>C</w:t>
            </w:r>
            <m:oMath>
              <m:acc>
                <m:accPr>
                  <m:chr m:val="́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</m:acc>
            </m:oMath>
            <w:r w:rsidR="00E84AD3" w:rsidRPr="00931E5B">
              <w:t xml:space="preserve">sar </w:t>
            </w:r>
            <w:r w:rsidR="009A71D7">
              <w:rPr>
                <w:bCs/>
              </w:rPr>
              <w:t>Palacios</w:t>
            </w:r>
            <w:r w:rsidRPr="008121B7">
              <w:rPr>
                <w:bCs/>
              </w:rPr>
              <w:t xml:space="preserve">. </w:t>
            </w:r>
            <w:r>
              <w:rPr>
                <w:bCs/>
              </w:rPr>
              <w:t xml:space="preserve">Without objection the </w:t>
            </w:r>
            <w:r w:rsidR="00E84AD3">
              <w:rPr>
                <w:bCs/>
              </w:rPr>
              <w:t>April 3</w:t>
            </w:r>
            <w:r w:rsidR="00E84AD3" w:rsidRPr="00D833EA">
              <w:rPr>
                <w:bCs/>
                <w:vertAlign w:val="superscript"/>
              </w:rPr>
              <w:t>rd</w:t>
            </w:r>
            <w:r w:rsidR="00E84AD3">
              <w:rPr>
                <w:bCs/>
              </w:rPr>
              <w:t xml:space="preserve"> </w:t>
            </w:r>
            <w:r>
              <w:rPr>
                <w:bCs/>
              </w:rPr>
              <w:t>minutes were approved.</w:t>
            </w:r>
          </w:p>
        </w:tc>
        <w:tc>
          <w:tcPr>
            <w:tcW w:w="1800" w:type="dxa"/>
            <w:tcBorders>
              <w:bottom w:val="single" w:sz="4" w:space="0" w:color="808080" w:themeColor="text1" w:themeTint="7F"/>
            </w:tcBorders>
          </w:tcPr>
          <w:p w14:paraId="526C4881" w14:textId="3FE8B84E" w:rsidR="006E7894" w:rsidRPr="0011139C" w:rsidRDefault="006E7894" w:rsidP="00A973B8">
            <w:pPr>
              <w:rPr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808080" w:themeColor="text1" w:themeTint="7F"/>
            </w:tcBorders>
          </w:tcPr>
          <w:p w14:paraId="1F266E3B" w14:textId="1B2BAFD5" w:rsidR="006E7894" w:rsidRPr="0011139C" w:rsidRDefault="006E7894" w:rsidP="00DF0246">
            <w:pPr>
              <w:rPr>
                <w:b/>
                <w:bCs/>
              </w:rPr>
            </w:pPr>
          </w:p>
        </w:tc>
      </w:tr>
      <w:tr w:rsidR="00A014F8" w:rsidRPr="002C6302" w14:paraId="209590F7" w14:textId="77777777" w:rsidTr="002A305D">
        <w:trPr>
          <w:trHeight w:val="1385"/>
        </w:trPr>
        <w:tc>
          <w:tcPr>
            <w:tcW w:w="0" w:type="auto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5EF18DC9" w14:textId="77777777" w:rsidR="00617DFF" w:rsidRDefault="00617DFF" w:rsidP="00A833E5">
            <w:pPr>
              <w:rPr>
                <w:b/>
                <w:bCs/>
              </w:rPr>
            </w:pPr>
          </w:p>
          <w:p w14:paraId="36E2609A" w14:textId="14BE2DD9" w:rsidR="00A833E5" w:rsidRPr="00A833E5" w:rsidRDefault="00A833E5" w:rsidP="00A833E5">
            <w:pPr>
              <w:rPr>
                <w:b/>
                <w:bCs/>
              </w:rPr>
            </w:pPr>
            <w:r w:rsidRPr="00A833E5">
              <w:rPr>
                <w:b/>
                <w:bCs/>
              </w:rPr>
              <w:t xml:space="preserve">HHS Director’s Comments </w:t>
            </w:r>
          </w:p>
          <w:p w14:paraId="4B4C7A44" w14:textId="3305B931" w:rsidR="007F277A" w:rsidRPr="00EE2824" w:rsidRDefault="00C32969" w:rsidP="00A833E5">
            <w:pPr>
              <w:rPr>
                <w:bCs/>
                <w:i/>
              </w:rPr>
            </w:pPr>
            <w:r>
              <w:rPr>
                <w:i/>
                <w:iCs/>
              </w:rPr>
              <w:t>Uma Ahluwalia, DHHS</w:t>
            </w:r>
          </w:p>
        </w:tc>
        <w:tc>
          <w:tcPr>
            <w:tcW w:w="7685" w:type="dxa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25DA925F" w14:textId="7872BF4A" w:rsidR="00617DFF" w:rsidRDefault="00617DFF" w:rsidP="00AA330C">
            <w:pPr>
              <w:contextualSpacing/>
            </w:pPr>
          </w:p>
          <w:p w14:paraId="65217058" w14:textId="63E96FD8" w:rsidR="0087145E" w:rsidRDefault="0087145E" w:rsidP="00AA330C">
            <w:pPr>
              <w:contextualSpacing/>
            </w:pPr>
            <w:r>
              <w:t xml:space="preserve">Ms. Ahluwalia shared updates </w:t>
            </w:r>
            <w:r w:rsidR="009F3D0C">
              <w:t xml:space="preserve">regarding the </w:t>
            </w:r>
            <w:r>
              <w:t xml:space="preserve">recruitment for the </w:t>
            </w:r>
            <w:r w:rsidR="0039366B">
              <w:t xml:space="preserve">Healthy Montgomery </w:t>
            </w:r>
            <w:r>
              <w:t xml:space="preserve">Senior Planning Specialist and </w:t>
            </w:r>
            <w:r w:rsidR="009F3D0C">
              <w:t xml:space="preserve">the </w:t>
            </w:r>
            <w:r w:rsidR="0039366B">
              <w:t xml:space="preserve">Montgomery County </w:t>
            </w:r>
            <w:r>
              <w:t xml:space="preserve">Public Health Officer. Interviews </w:t>
            </w:r>
            <w:r w:rsidR="0039366B">
              <w:t xml:space="preserve">are underway </w:t>
            </w:r>
            <w:r>
              <w:t>with potential candidates</w:t>
            </w:r>
            <w:r w:rsidR="0039366B">
              <w:t xml:space="preserve"> for both positions</w:t>
            </w:r>
            <w:r>
              <w:t xml:space="preserve">. Candidates for </w:t>
            </w:r>
            <w:r w:rsidR="009F3D0C">
              <w:t xml:space="preserve">the </w:t>
            </w:r>
            <w:r>
              <w:t xml:space="preserve">Public Health Officer </w:t>
            </w:r>
            <w:r w:rsidR="009F3D0C">
              <w:t xml:space="preserve">vacancy </w:t>
            </w:r>
            <w:r>
              <w:t>will participate in community interviews starting at the e</w:t>
            </w:r>
            <w:r w:rsidR="0039366B">
              <w:t>nd of June</w:t>
            </w:r>
            <w:r>
              <w:t>.</w:t>
            </w:r>
            <w:r w:rsidR="0039366B">
              <w:t xml:space="preserve"> Key stakeholders will be invited to participate. </w:t>
            </w:r>
            <w:r>
              <w:t xml:space="preserve"> </w:t>
            </w:r>
          </w:p>
          <w:p w14:paraId="26ABD372" w14:textId="363FCAC0" w:rsidR="0087145E" w:rsidRDefault="0087145E" w:rsidP="00AA330C">
            <w:pPr>
              <w:contextualSpacing/>
            </w:pPr>
          </w:p>
          <w:p w14:paraId="1BCD4F9C" w14:textId="320D82B3" w:rsidR="0087145E" w:rsidRDefault="0087145E" w:rsidP="00AA330C">
            <w:pPr>
              <w:contextualSpacing/>
            </w:pPr>
            <w:r>
              <w:t>DHHS will continue to serve as the County’s Connector Entity during FY18. Level funding has been allocat</w:t>
            </w:r>
            <w:r w:rsidR="0039366B">
              <w:t>ed for the upcoming grant year totaling $1.6 million</w:t>
            </w:r>
            <w:r>
              <w:t xml:space="preserve">. </w:t>
            </w:r>
            <w:r w:rsidR="009F3D0C">
              <w:t xml:space="preserve"> </w:t>
            </w:r>
            <w:r>
              <w:t>The County will continue to prepare for the</w:t>
            </w:r>
            <w:r w:rsidR="001B2512">
              <w:t xml:space="preserve"> confirmed elements of FY18: 45-</w:t>
            </w:r>
            <w:r>
              <w:t xml:space="preserve">day </w:t>
            </w:r>
            <w:r w:rsidR="009F3D0C">
              <w:t xml:space="preserve">open </w:t>
            </w:r>
            <w:r>
              <w:t xml:space="preserve">enrollment period, maintenance of language access needs, </w:t>
            </w:r>
            <w:r w:rsidR="009F3D0C">
              <w:t xml:space="preserve">and </w:t>
            </w:r>
            <w:r>
              <w:t>advanced targeted messa</w:t>
            </w:r>
            <w:r w:rsidR="0039366B">
              <w:t>ging throughout the County</w:t>
            </w:r>
            <w:r w:rsidR="009F3D0C">
              <w:t>.</w:t>
            </w:r>
          </w:p>
          <w:p w14:paraId="12221DB5" w14:textId="0C442189" w:rsidR="0039366B" w:rsidRDefault="0039366B" w:rsidP="00AA330C">
            <w:pPr>
              <w:contextualSpacing/>
            </w:pPr>
          </w:p>
          <w:p w14:paraId="1DD95D77" w14:textId="6FEBEB1A" w:rsidR="00EC28AD" w:rsidRPr="004578ED" w:rsidRDefault="0039366B" w:rsidP="0015565E">
            <w:pPr>
              <w:contextualSpacing/>
            </w:pPr>
            <w:r>
              <w:t>DHHS will provide updates during the September 2017 HMSC session.</w:t>
            </w:r>
          </w:p>
        </w:tc>
        <w:tc>
          <w:tcPr>
            <w:tcW w:w="1800" w:type="dxa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36E3589A" w14:textId="17A89E2A" w:rsidR="009625D4" w:rsidRPr="002C6302" w:rsidRDefault="009625D4" w:rsidP="00A973B8">
            <w:pPr>
              <w:rPr>
                <w:b/>
                <w:bCs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50B73C6A" w14:textId="6F0DB42D" w:rsidR="009625D4" w:rsidRPr="002C6302" w:rsidRDefault="009625D4" w:rsidP="00C40F29">
            <w:pPr>
              <w:rPr>
                <w:b/>
                <w:bCs/>
                <w:highlight w:val="yellow"/>
              </w:rPr>
            </w:pPr>
          </w:p>
        </w:tc>
      </w:tr>
      <w:tr w:rsidR="00A014F8" w:rsidRPr="00682B7B" w14:paraId="5FCB1D7D" w14:textId="77777777" w:rsidTr="002A305D">
        <w:trPr>
          <w:trHeight w:val="85"/>
        </w:trPr>
        <w:tc>
          <w:tcPr>
            <w:tcW w:w="0" w:type="auto"/>
            <w:tcBorders>
              <w:top w:val="single" w:sz="4" w:space="0" w:color="auto"/>
              <w:bottom w:val="single" w:sz="4" w:space="0" w:color="808080" w:themeColor="text1" w:themeTint="7F"/>
            </w:tcBorders>
          </w:tcPr>
          <w:p w14:paraId="23B88389" w14:textId="77777777" w:rsidR="000C61B2" w:rsidRDefault="000C61B2" w:rsidP="0011139C">
            <w:pPr>
              <w:contextualSpacing/>
              <w:rPr>
                <w:rFonts w:eastAsia="Arial Unicode MS"/>
                <w:b/>
                <w:bCs/>
              </w:rPr>
            </w:pPr>
          </w:p>
          <w:p w14:paraId="51EEE12E" w14:textId="737F0B06" w:rsidR="00520CFC" w:rsidRDefault="00C32969" w:rsidP="00520CFC">
            <w:pPr>
              <w:contextualSpacing/>
              <w:rPr>
                <w:rFonts w:eastAsia="Arial Unicode MS"/>
                <w:b/>
                <w:bCs/>
              </w:rPr>
            </w:pPr>
            <w:r w:rsidRPr="0039366B">
              <w:rPr>
                <w:rFonts w:eastAsia="Arial Unicode MS"/>
                <w:b/>
                <w:bCs/>
              </w:rPr>
              <w:t>Transforming Communities Initiative Grant – Update</w:t>
            </w:r>
          </w:p>
          <w:p w14:paraId="731D3C06" w14:textId="66E78834" w:rsidR="00C32969" w:rsidRPr="00C32969" w:rsidRDefault="00C32969" w:rsidP="00520CFC">
            <w:pPr>
              <w:contextualSpacing/>
              <w:rPr>
                <w:rFonts w:eastAsia="Arial Unicode MS"/>
                <w:bCs/>
                <w:i/>
              </w:rPr>
            </w:pPr>
            <w:r>
              <w:rPr>
                <w:rFonts w:eastAsia="Arial Unicode MS"/>
                <w:bCs/>
                <w:i/>
              </w:rPr>
              <w:t>Michael Rhein, Institute for Public Health Innovation (IPHI)</w:t>
            </w:r>
          </w:p>
          <w:p w14:paraId="544174A8" w14:textId="77777777" w:rsidR="006E7894" w:rsidRPr="00682B7B" w:rsidRDefault="006E7894" w:rsidP="008F494B">
            <w:pPr>
              <w:rPr>
                <w:b/>
                <w:bCs/>
              </w:rPr>
            </w:pPr>
          </w:p>
        </w:tc>
        <w:tc>
          <w:tcPr>
            <w:tcW w:w="7685" w:type="dxa"/>
            <w:tcBorders>
              <w:top w:val="single" w:sz="4" w:space="0" w:color="auto"/>
              <w:bottom w:val="single" w:sz="4" w:space="0" w:color="808080" w:themeColor="text1" w:themeTint="7F"/>
            </w:tcBorders>
            <w:shd w:val="clear" w:color="auto" w:fill="auto"/>
          </w:tcPr>
          <w:p w14:paraId="03451364" w14:textId="27500E71" w:rsidR="00657101" w:rsidRDefault="00657101" w:rsidP="00045B36">
            <w:pPr>
              <w:rPr>
                <w:bCs/>
              </w:rPr>
            </w:pPr>
          </w:p>
          <w:p w14:paraId="3EDBE33F" w14:textId="5072F7D7" w:rsidR="00657101" w:rsidRDefault="00657101" w:rsidP="00045B36">
            <w:pPr>
              <w:rPr>
                <w:bCs/>
              </w:rPr>
            </w:pPr>
            <w:r>
              <w:rPr>
                <w:bCs/>
              </w:rPr>
              <w:t xml:space="preserve">Mr. Rhein gave an update </w:t>
            </w:r>
            <w:r w:rsidR="009F3D0C">
              <w:rPr>
                <w:bCs/>
              </w:rPr>
              <w:t xml:space="preserve">regarding </w:t>
            </w:r>
            <w:r>
              <w:rPr>
                <w:bCs/>
              </w:rPr>
              <w:t xml:space="preserve">the Healthy Montgomery Transforming Communities Initiative (TCI) Grant, the renewed structure of the existing Eat Well Be Active (EWBA) committee, and the HMSC’s role in relation to these efforts.  </w:t>
            </w:r>
          </w:p>
          <w:p w14:paraId="53588B43" w14:textId="77777777" w:rsidR="00657101" w:rsidRDefault="00657101" w:rsidP="00045B36">
            <w:pPr>
              <w:rPr>
                <w:bCs/>
              </w:rPr>
            </w:pPr>
          </w:p>
          <w:p w14:paraId="082E9FFB" w14:textId="77777777" w:rsidR="004013F4" w:rsidRDefault="00E53C79" w:rsidP="0039366B">
            <w:pPr>
              <w:rPr>
                <w:bCs/>
              </w:rPr>
            </w:pPr>
            <w:r w:rsidRPr="0039366B">
              <w:rPr>
                <w:bCs/>
              </w:rPr>
              <w:t xml:space="preserve">The Healthy Montgomery </w:t>
            </w:r>
            <w:r w:rsidR="00657101" w:rsidRPr="0039366B">
              <w:rPr>
                <w:bCs/>
              </w:rPr>
              <w:t>TCI</w:t>
            </w:r>
            <w:r w:rsidRPr="0039366B">
              <w:rPr>
                <w:bCs/>
              </w:rPr>
              <w:t xml:space="preserve"> </w:t>
            </w:r>
            <w:r w:rsidR="00657101" w:rsidRPr="0039366B">
              <w:rPr>
                <w:bCs/>
              </w:rPr>
              <w:t>is focused</w:t>
            </w:r>
            <w:r w:rsidRPr="0039366B">
              <w:rPr>
                <w:bCs/>
              </w:rPr>
              <w:t xml:space="preserve"> on public health strategies related to healthy eating, active living, and tobacco use. </w:t>
            </w:r>
            <w:r w:rsidR="00657101" w:rsidRPr="0039366B">
              <w:rPr>
                <w:bCs/>
              </w:rPr>
              <w:t>These strategies are closely related to the Healthy Montgomery CHIP Chronic Disease priority strategy area.</w:t>
            </w:r>
          </w:p>
          <w:p w14:paraId="20B63D85" w14:textId="535F13A0" w:rsidR="00657101" w:rsidRDefault="0039366B" w:rsidP="0039366B">
            <w:pPr>
              <w:rPr>
                <w:bCs/>
              </w:rPr>
            </w:pPr>
            <w:r>
              <w:rPr>
                <w:bCs/>
              </w:rPr>
              <w:lastRenderedPageBreak/>
              <w:t>Updates:</w:t>
            </w:r>
          </w:p>
          <w:p w14:paraId="50EF1291" w14:textId="77777777" w:rsidR="0039366B" w:rsidRPr="0039366B" w:rsidRDefault="0039366B" w:rsidP="0039366B">
            <w:pPr>
              <w:rPr>
                <w:bCs/>
              </w:rPr>
            </w:pPr>
          </w:p>
          <w:p w14:paraId="4DC77965" w14:textId="4C56695C" w:rsidR="00657101" w:rsidRDefault="00657101" w:rsidP="00045B36">
            <w:pPr>
              <w:pStyle w:val="ListParagraph"/>
              <w:numPr>
                <w:ilvl w:val="0"/>
                <w:numId w:val="29"/>
              </w:numPr>
              <w:rPr>
                <w:bCs/>
              </w:rPr>
            </w:pPr>
            <w:r>
              <w:rPr>
                <w:bCs/>
              </w:rPr>
              <w:t xml:space="preserve">TCI seeks to promote healthy behaviors and prevent chronic disease through policy, systems, and environmental change strategies (PSE) that influence those behaviors. </w:t>
            </w:r>
            <w:proofErr w:type="spellStart"/>
            <w:r>
              <w:rPr>
                <w:bCs/>
              </w:rPr>
              <w:t>i.e</w:t>
            </w:r>
            <w:proofErr w:type="spellEnd"/>
            <w:r>
              <w:rPr>
                <w:bCs/>
              </w:rPr>
              <w:t>;</w:t>
            </w:r>
          </w:p>
          <w:p w14:paraId="7559F50E" w14:textId="1B42A36C" w:rsidR="00657101" w:rsidRDefault="00657101" w:rsidP="00657101">
            <w:pPr>
              <w:pStyle w:val="ListParagraph"/>
              <w:numPr>
                <w:ilvl w:val="1"/>
                <w:numId w:val="29"/>
              </w:numPr>
              <w:rPr>
                <w:bCs/>
              </w:rPr>
            </w:pPr>
            <w:r>
              <w:rPr>
                <w:bCs/>
              </w:rPr>
              <w:t xml:space="preserve">Nutrition </w:t>
            </w:r>
            <w:r w:rsidR="0039366B">
              <w:rPr>
                <w:bCs/>
              </w:rPr>
              <w:t>Standards in Early Childhood Settings</w:t>
            </w:r>
          </w:p>
          <w:p w14:paraId="4929E0D2" w14:textId="28C68828" w:rsidR="00657101" w:rsidRDefault="00657101" w:rsidP="00657101">
            <w:pPr>
              <w:pStyle w:val="ListParagraph"/>
              <w:numPr>
                <w:ilvl w:val="1"/>
                <w:numId w:val="29"/>
              </w:numPr>
              <w:rPr>
                <w:bCs/>
              </w:rPr>
            </w:pPr>
            <w:r>
              <w:rPr>
                <w:bCs/>
              </w:rPr>
              <w:t xml:space="preserve">Promotion </w:t>
            </w:r>
            <w:r w:rsidR="0039366B">
              <w:rPr>
                <w:bCs/>
              </w:rPr>
              <w:t>of Tobacco Free Living</w:t>
            </w:r>
          </w:p>
          <w:p w14:paraId="3CE72952" w14:textId="2FF7231D" w:rsidR="00657101" w:rsidRDefault="00657101" w:rsidP="00657101">
            <w:pPr>
              <w:pStyle w:val="ListParagraph"/>
              <w:numPr>
                <w:ilvl w:val="1"/>
                <w:numId w:val="29"/>
              </w:numPr>
              <w:rPr>
                <w:bCs/>
              </w:rPr>
            </w:pPr>
            <w:r>
              <w:rPr>
                <w:bCs/>
              </w:rPr>
              <w:t xml:space="preserve">Complete </w:t>
            </w:r>
            <w:r w:rsidR="0039366B">
              <w:rPr>
                <w:bCs/>
              </w:rPr>
              <w:t>Streets</w:t>
            </w:r>
          </w:p>
          <w:p w14:paraId="6136A6C1" w14:textId="2911D1CB" w:rsidR="00657101" w:rsidRDefault="00657101" w:rsidP="00657101">
            <w:pPr>
              <w:pStyle w:val="ListParagraph"/>
              <w:numPr>
                <w:ilvl w:val="1"/>
                <w:numId w:val="29"/>
              </w:numPr>
              <w:rPr>
                <w:bCs/>
              </w:rPr>
            </w:pPr>
            <w:r>
              <w:rPr>
                <w:bCs/>
              </w:rPr>
              <w:t>School Wellness Councils</w:t>
            </w:r>
          </w:p>
          <w:p w14:paraId="2BAA1E35" w14:textId="4EE1CA02" w:rsidR="0039366B" w:rsidRDefault="0039366B" w:rsidP="00657101">
            <w:pPr>
              <w:pStyle w:val="ListParagraph"/>
              <w:numPr>
                <w:ilvl w:val="1"/>
                <w:numId w:val="29"/>
              </w:numPr>
              <w:rPr>
                <w:bCs/>
              </w:rPr>
            </w:pPr>
            <w:r>
              <w:rPr>
                <w:bCs/>
              </w:rPr>
              <w:t xml:space="preserve">Safe Routes to School </w:t>
            </w:r>
          </w:p>
          <w:p w14:paraId="4C0AAE81" w14:textId="5BA3D832" w:rsidR="0039366B" w:rsidRDefault="0039366B" w:rsidP="00045B36">
            <w:pPr>
              <w:pStyle w:val="ListParagraph"/>
              <w:numPr>
                <w:ilvl w:val="0"/>
                <w:numId w:val="29"/>
              </w:numPr>
              <w:rPr>
                <w:bCs/>
              </w:rPr>
            </w:pPr>
            <w:r>
              <w:rPr>
                <w:bCs/>
              </w:rPr>
              <w:t xml:space="preserve">Montgomery County is one of </w:t>
            </w:r>
            <w:r w:rsidR="009F3D0C">
              <w:rPr>
                <w:bCs/>
              </w:rPr>
              <w:t>six</w:t>
            </w:r>
            <w:r>
              <w:rPr>
                <w:bCs/>
              </w:rPr>
              <w:t xml:space="preserve"> TCI grant locations nationally.</w:t>
            </w:r>
          </w:p>
          <w:p w14:paraId="78254821" w14:textId="1A2C7077" w:rsidR="0039366B" w:rsidRDefault="0039366B" w:rsidP="00045B36">
            <w:pPr>
              <w:pStyle w:val="ListParagraph"/>
              <w:numPr>
                <w:ilvl w:val="0"/>
                <w:numId w:val="29"/>
              </w:numPr>
              <w:rPr>
                <w:bCs/>
              </w:rPr>
            </w:pPr>
            <w:r>
              <w:rPr>
                <w:bCs/>
              </w:rPr>
              <w:t>TCI partners will announce initial sub-grants totaling up to $200K by the end of June 2017.</w:t>
            </w:r>
          </w:p>
          <w:p w14:paraId="3255E09A" w14:textId="77777777" w:rsidR="0039366B" w:rsidRDefault="0039366B" w:rsidP="00045B36">
            <w:pPr>
              <w:pStyle w:val="ListParagraph"/>
              <w:numPr>
                <w:ilvl w:val="0"/>
                <w:numId w:val="29"/>
              </w:numPr>
              <w:rPr>
                <w:bCs/>
              </w:rPr>
            </w:pPr>
            <w:r>
              <w:rPr>
                <w:bCs/>
              </w:rPr>
              <w:t xml:space="preserve">IPHI is securing matching funds. </w:t>
            </w:r>
          </w:p>
          <w:p w14:paraId="5849319D" w14:textId="5663F525" w:rsidR="0039366B" w:rsidRDefault="0039366B" w:rsidP="0039366B">
            <w:pPr>
              <w:pStyle w:val="ListParagraph"/>
              <w:numPr>
                <w:ilvl w:val="1"/>
                <w:numId w:val="29"/>
              </w:numPr>
              <w:rPr>
                <w:bCs/>
              </w:rPr>
            </w:pPr>
            <w:r>
              <w:rPr>
                <w:bCs/>
              </w:rPr>
              <w:t xml:space="preserve">Maryland Community Health Resource Commission matched $80K.  </w:t>
            </w:r>
          </w:p>
          <w:p w14:paraId="65AE52C2" w14:textId="5F90164C" w:rsidR="00657101" w:rsidRDefault="00657101" w:rsidP="00045B36">
            <w:pPr>
              <w:pStyle w:val="ListParagraph"/>
              <w:numPr>
                <w:ilvl w:val="0"/>
                <w:numId w:val="29"/>
              </w:numPr>
              <w:rPr>
                <w:bCs/>
              </w:rPr>
            </w:pPr>
            <w:r w:rsidRPr="00657101">
              <w:rPr>
                <w:bCs/>
              </w:rPr>
              <w:t xml:space="preserve">The geographic focus of the grant </w:t>
            </w:r>
            <w:r w:rsidR="009F3D0C">
              <w:rPr>
                <w:bCs/>
              </w:rPr>
              <w:t>are the</w:t>
            </w:r>
            <w:r w:rsidR="009F3D0C" w:rsidRPr="00657101">
              <w:rPr>
                <w:bCs/>
              </w:rPr>
              <w:t xml:space="preserve"> </w:t>
            </w:r>
            <w:r w:rsidRPr="00657101">
              <w:rPr>
                <w:bCs/>
              </w:rPr>
              <w:t>c</w:t>
            </w:r>
            <w:r w:rsidR="00E53C79" w:rsidRPr="00657101">
              <w:rPr>
                <w:bCs/>
              </w:rPr>
              <w:t xml:space="preserve">ommunities within Gaithersburg, Germantown, Long Branch, and Takoma Park </w:t>
            </w:r>
            <w:r w:rsidRPr="00657101">
              <w:rPr>
                <w:bCs/>
              </w:rPr>
              <w:t>in addition to countywide initiatives.</w:t>
            </w:r>
          </w:p>
          <w:p w14:paraId="4152AF11" w14:textId="77777777" w:rsidR="0039366B" w:rsidRDefault="0039366B" w:rsidP="00045B36">
            <w:pPr>
              <w:pStyle w:val="ListParagraph"/>
              <w:numPr>
                <w:ilvl w:val="0"/>
                <w:numId w:val="29"/>
              </w:numPr>
              <w:rPr>
                <w:bCs/>
              </w:rPr>
            </w:pPr>
            <w:r>
              <w:rPr>
                <w:bCs/>
              </w:rPr>
              <w:t xml:space="preserve">A partnership with Montgomery County Public Schools is underway to develop </w:t>
            </w:r>
            <w:r w:rsidR="00657101">
              <w:rPr>
                <w:bCs/>
              </w:rPr>
              <w:t>School Wellness Councils</w:t>
            </w:r>
            <w:r>
              <w:rPr>
                <w:bCs/>
              </w:rPr>
              <w:t>.</w:t>
            </w:r>
          </w:p>
          <w:p w14:paraId="4178F75F" w14:textId="16C16126" w:rsidR="00657101" w:rsidRDefault="0039366B" w:rsidP="00045B36">
            <w:pPr>
              <w:pStyle w:val="ListParagraph"/>
              <w:numPr>
                <w:ilvl w:val="0"/>
                <w:numId w:val="29"/>
              </w:numPr>
              <w:rPr>
                <w:bCs/>
              </w:rPr>
            </w:pPr>
            <w:r>
              <w:rPr>
                <w:bCs/>
              </w:rPr>
              <w:t xml:space="preserve">TCI program evaluation will be led by </w:t>
            </w:r>
            <w:r w:rsidRPr="00D833EA">
              <w:rPr>
                <w:bCs/>
              </w:rPr>
              <w:t>Community Science.</w:t>
            </w:r>
            <w:r w:rsidR="00657101">
              <w:rPr>
                <w:bCs/>
              </w:rPr>
              <w:t xml:space="preserve"> </w:t>
            </w:r>
          </w:p>
          <w:p w14:paraId="16BB4DD7" w14:textId="7E1FF85F" w:rsidR="0039366B" w:rsidRPr="0039366B" w:rsidRDefault="00657101" w:rsidP="0039366B">
            <w:pPr>
              <w:pStyle w:val="ListParagraph"/>
              <w:numPr>
                <w:ilvl w:val="0"/>
                <w:numId w:val="29"/>
              </w:numPr>
              <w:rPr>
                <w:bCs/>
              </w:rPr>
            </w:pPr>
            <w:r w:rsidRPr="00657101">
              <w:rPr>
                <w:bCs/>
              </w:rPr>
              <w:t xml:space="preserve">IPHI will be providing regular updates on the status of the grant, for example areas of overlap with existing Healthy Montgomery priorities. </w:t>
            </w:r>
          </w:p>
          <w:p w14:paraId="088D5C02" w14:textId="5EB02D31" w:rsidR="00657101" w:rsidRDefault="00657101" w:rsidP="00045B36">
            <w:pPr>
              <w:pStyle w:val="ListParagraph"/>
              <w:numPr>
                <w:ilvl w:val="0"/>
                <w:numId w:val="29"/>
              </w:numPr>
              <w:rPr>
                <w:bCs/>
              </w:rPr>
            </w:pPr>
            <w:r>
              <w:rPr>
                <w:bCs/>
              </w:rPr>
              <w:t xml:space="preserve">The EWBA Partnership </w:t>
            </w:r>
            <w:r w:rsidR="009F3D0C">
              <w:rPr>
                <w:bCs/>
              </w:rPr>
              <w:t xml:space="preserve">will </w:t>
            </w:r>
            <w:r>
              <w:rPr>
                <w:bCs/>
              </w:rPr>
              <w:t>serve</w:t>
            </w:r>
            <w:r w:rsidR="009F3D0C">
              <w:rPr>
                <w:bCs/>
              </w:rPr>
              <w:t xml:space="preserve"> </w:t>
            </w:r>
            <w:r>
              <w:rPr>
                <w:bCs/>
              </w:rPr>
              <w:t xml:space="preserve">as the </w:t>
            </w:r>
            <w:r w:rsidR="009F3D0C">
              <w:rPr>
                <w:bCs/>
              </w:rPr>
              <w:t xml:space="preserve">primary advisory body for the </w:t>
            </w:r>
            <w:r>
              <w:rPr>
                <w:bCs/>
              </w:rPr>
              <w:t>TCI</w:t>
            </w:r>
            <w:r w:rsidR="009F3D0C">
              <w:rPr>
                <w:bCs/>
              </w:rPr>
              <w:t xml:space="preserve"> grant</w:t>
            </w:r>
            <w:r w:rsidR="0039366B">
              <w:rPr>
                <w:bCs/>
              </w:rPr>
              <w:t xml:space="preserve">. Holy Cross Health </w:t>
            </w:r>
            <w:r w:rsidR="009F3D0C">
              <w:rPr>
                <w:bCs/>
              </w:rPr>
              <w:t xml:space="preserve">will serve as the </w:t>
            </w:r>
            <w:r w:rsidR="0039366B">
              <w:rPr>
                <w:bCs/>
              </w:rPr>
              <w:t>fiscal</w:t>
            </w:r>
            <w:r w:rsidR="009F3D0C">
              <w:rPr>
                <w:bCs/>
              </w:rPr>
              <w:t xml:space="preserve"> agent for the grant</w:t>
            </w:r>
            <w:r w:rsidR="0039366B">
              <w:rPr>
                <w:bCs/>
              </w:rPr>
              <w:t xml:space="preserve">, IPHI is the </w:t>
            </w:r>
            <w:r w:rsidR="009F3D0C">
              <w:rPr>
                <w:bCs/>
              </w:rPr>
              <w:t>coordinating organization</w:t>
            </w:r>
            <w:r w:rsidR="0039366B">
              <w:rPr>
                <w:bCs/>
              </w:rPr>
              <w:t xml:space="preserve">, </w:t>
            </w:r>
            <w:r w:rsidR="009F3D0C">
              <w:rPr>
                <w:bCs/>
              </w:rPr>
              <w:t xml:space="preserve">and DHHS will serve as </w:t>
            </w:r>
            <w:r w:rsidR="0039366B">
              <w:rPr>
                <w:bCs/>
              </w:rPr>
              <w:t>a critical advisory partner.</w:t>
            </w:r>
          </w:p>
          <w:p w14:paraId="353BFC6D" w14:textId="7284C407" w:rsidR="004013F4" w:rsidRDefault="004013F4" w:rsidP="004013F4">
            <w:pPr>
              <w:rPr>
                <w:bCs/>
              </w:rPr>
            </w:pPr>
          </w:p>
          <w:p w14:paraId="6A61477D" w14:textId="2887F255" w:rsidR="004013F4" w:rsidRDefault="004013F4" w:rsidP="004013F4">
            <w:pPr>
              <w:rPr>
                <w:bCs/>
              </w:rPr>
            </w:pPr>
          </w:p>
          <w:p w14:paraId="02686ED0" w14:textId="77777777" w:rsidR="004013F4" w:rsidRPr="004013F4" w:rsidRDefault="004013F4" w:rsidP="004013F4">
            <w:pPr>
              <w:rPr>
                <w:bCs/>
              </w:rPr>
            </w:pPr>
          </w:p>
          <w:p w14:paraId="47DA0606" w14:textId="77777777" w:rsidR="0039366B" w:rsidRDefault="0039366B" w:rsidP="00045B36">
            <w:pPr>
              <w:pStyle w:val="ListParagraph"/>
              <w:numPr>
                <w:ilvl w:val="0"/>
                <w:numId w:val="29"/>
              </w:numPr>
              <w:rPr>
                <w:bCs/>
              </w:rPr>
            </w:pPr>
            <w:r>
              <w:rPr>
                <w:bCs/>
              </w:rPr>
              <w:lastRenderedPageBreak/>
              <w:t>Key Needs/Opportunities:</w:t>
            </w:r>
          </w:p>
          <w:p w14:paraId="696755E3" w14:textId="6FD37BC0" w:rsidR="0039366B" w:rsidRDefault="00A014F8" w:rsidP="0039366B">
            <w:pPr>
              <w:pStyle w:val="ListParagraph"/>
              <w:numPr>
                <w:ilvl w:val="1"/>
                <w:numId w:val="29"/>
              </w:numPr>
              <w:rPr>
                <w:bCs/>
              </w:rPr>
            </w:pPr>
            <w:r>
              <w:rPr>
                <w:bCs/>
              </w:rPr>
              <w:t>Enhanced integration of</w:t>
            </w:r>
            <w:r w:rsidR="0039366B">
              <w:rPr>
                <w:bCs/>
              </w:rPr>
              <w:t xml:space="preserve"> TCI implementation and monitoring </w:t>
            </w:r>
            <w:r>
              <w:rPr>
                <w:bCs/>
              </w:rPr>
              <w:t>within</w:t>
            </w:r>
            <w:r w:rsidR="0039366B">
              <w:rPr>
                <w:bCs/>
              </w:rPr>
              <w:t xml:space="preserve"> Healthy Montgomery</w:t>
            </w:r>
            <w:r>
              <w:rPr>
                <w:bCs/>
              </w:rPr>
              <w:t xml:space="preserve"> related efforts</w:t>
            </w:r>
            <w:r w:rsidR="0039366B">
              <w:rPr>
                <w:bCs/>
              </w:rPr>
              <w:t>.</w:t>
            </w:r>
          </w:p>
          <w:p w14:paraId="3D023C80" w14:textId="616652A8" w:rsidR="0039366B" w:rsidRDefault="0039366B" w:rsidP="0039366B">
            <w:pPr>
              <w:pStyle w:val="ListParagraph"/>
              <w:numPr>
                <w:ilvl w:val="1"/>
                <w:numId w:val="29"/>
              </w:numPr>
              <w:rPr>
                <w:bCs/>
              </w:rPr>
            </w:pPr>
            <w:r>
              <w:rPr>
                <w:bCs/>
              </w:rPr>
              <w:t>Clarify role</w:t>
            </w:r>
            <w:r w:rsidR="00A014F8">
              <w:rPr>
                <w:bCs/>
              </w:rPr>
              <w:t>s</w:t>
            </w:r>
            <w:r>
              <w:rPr>
                <w:bCs/>
              </w:rPr>
              <w:t xml:space="preserve"> and expectations of EWBA partnership.</w:t>
            </w:r>
          </w:p>
          <w:p w14:paraId="15BE6937" w14:textId="7F17D77B" w:rsidR="0039366B" w:rsidRDefault="0039366B" w:rsidP="0039366B">
            <w:pPr>
              <w:pStyle w:val="ListParagraph"/>
              <w:numPr>
                <w:ilvl w:val="1"/>
                <w:numId w:val="29"/>
              </w:numPr>
              <w:rPr>
                <w:bCs/>
              </w:rPr>
            </w:pPr>
            <w:r>
              <w:rPr>
                <w:bCs/>
              </w:rPr>
              <w:t xml:space="preserve">Leverage TCI resources for Chronic Disease CHIP implementation, hospital collaboration on diabetes prevention, </w:t>
            </w:r>
            <w:r w:rsidR="00A014F8">
              <w:rPr>
                <w:bCs/>
              </w:rPr>
              <w:t xml:space="preserve">and Health in All Policies </w:t>
            </w:r>
            <w:r w:rsidR="007310D1">
              <w:rPr>
                <w:bCs/>
              </w:rPr>
              <w:t>(</w:t>
            </w:r>
            <w:proofErr w:type="spellStart"/>
            <w:r w:rsidR="007310D1">
              <w:rPr>
                <w:bCs/>
              </w:rPr>
              <w:t>HiAP</w:t>
            </w:r>
            <w:proofErr w:type="spellEnd"/>
            <w:r w:rsidR="007310D1">
              <w:rPr>
                <w:bCs/>
              </w:rPr>
              <w:t xml:space="preserve">) </w:t>
            </w:r>
            <w:r>
              <w:rPr>
                <w:bCs/>
              </w:rPr>
              <w:t>workgroup activities.</w:t>
            </w:r>
          </w:p>
          <w:p w14:paraId="5461BC31" w14:textId="37521500" w:rsidR="0039366B" w:rsidRPr="00657101" w:rsidRDefault="0039366B" w:rsidP="0039366B">
            <w:pPr>
              <w:pStyle w:val="ListParagraph"/>
              <w:numPr>
                <w:ilvl w:val="1"/>
                <w:numId w:val="29"/>
              </w:numPr>
              <w:rPr>
                <w:bCs/>
              </w:rPr>
            </w:pPr>
            <w:r>
              <w:rPr>
                <w:bCs/>
              </w:rPr>
              <w:t>Link TCI evaluation with HM evaluation effort.</w:t>
            </w:r>
          </w:p>
          <w:p w14:paraId="3F33D93D" w14:textId="77777777" w:rsidR="00657101" w:rsidRDefault="00657101" w:rsidP="00045B36">
            <w:pPr>
              <w:rPr>
                <w:bCs/>
              </w:rPr>
            </w:pPr>
          </w:p>
          <w:p w14:paraId="6311E974" w14:textId="77777777" w:rsidR="00657101" w:rsidRDefault="00657101" w:rsidP="00045B36">
            <w:pPr>
              <w:rPr>
                <w:bCs/>
              </w:rPr>
            </w:pPr>
            <w:r>
              <w:rPr>
                <w:bCs/>
              </w:rPr>
              <w:t xml:space="preserve">Presentation slides will be forwarded to the HMSC. </w:t>
            </w:r>
          </w:p>
          <w:p w14:paraId="1E9D7387" w14:textId="77777777" w:rsidR="0039366B" w:rsidRDefault="0039366B" w:rsidP="00045B36">
            <w:pPr>
              <w:rPr>
                <w:bCs/>
              </w:rPr>
            </w:pPr>
          </w:p>
          <w:p w14:paraId="49F1C4E7" w14:textId="77777777" w:rsidR="0039366B" w:rsidRDefault="0039366B" w:rsidP="00045B36">
            <w:pPr>
              <w:rPr>
                <w:bCs/>
              </w:rPr>
            </w:pPr>
            <w:r>
              <w:rPr>
                <w:bCs/>
              </w:rPr>
              <w:t>The group voted to approve pursuing tobacco/nicotine prevention strategies that can be addressed through TCI resources. DHHS will follow up with IPHI to discuss opportunities for smoking cessation programs.</w:t>
            </w:r>
          </w:p>
          <w:p w14:paraId="437B3270" w14:textId="24757AB9" w:rsidR="0039366B" w:rsidRPr="00F45880" w:rsidRDefault="0039366B" w:rsidP="00045B36">
            <w:pPr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808080" w:themeColor="text1" w:themeTint="7F"/>
            </w:tcBorders>
          </w:tcPr>
          <w:p w14:paraId="46F9928F" w14:textId="77777777" w:rsidR="00E8319B" w:rsidRPr="00682B7B" w:rsidRDefault="00E8319B" w:rsidP="001B181D">
            <w:pPr>
              <w:rPr>
                <w:bCs/>
              </w:rPr>
            </w:pPr>
          </w:p>
          <w:p w14:paraId="227D3AEB" w14:textId="77777777" w:rsidR="00657101" w:rsidRDefault="00657101" w:rsidP="004578ED">
            <w:pPr>
              <w:rPr>
                <w:b/>
                <w:bCs/>
              </w:rPr>
            </w:pPr>
          </w:p>
          <w:p w14:paraId="7A6D8BF0" w14:textId="77777777" w:rsidR="00657101" w:rsidRDefault="00657101" w:rsidP="004578ED">
            <w:pPr>
              <w:rPr>
                <w:b/>
                <w:bCs/>
              </w:rPr>
            </w:pPr>
          </w:p>
          <w:p w14:paraId="2B08CEF7" w14:textId="77777777" w:rsidR="00657101" w:rsidRDefault="00657101" w:rsidP="004578ED">
            <w:pPr>
              <w:rPr>
                <w:b/>
                <w:bCs/>
              </w:rPr>
            </w:pPr>
          </w:p>
          <w:p w14:paraId="79968973" w14:textId="77777777" w:rsidR="00657101" w:rsidRDefault="00657101" w:rsidP="004578ED">
            <w:pPr>
              <w:rPr>
                <w:b/>
                <w:bCs/>
              </w:rPr>
            </w:pPr>
          </w:p>
          <w:p w14:paraId="1F23CF4D" w14:textId="77777777" w:rsidR="00657101" w:rsidRDefault="00657101" w:rsidP="004578ED">
            <w:pPr>
              <w:rPr>
                <w:b/>
                <w:bCs/>
              </w:rPr>
            </w:pPr>
          </w:p>
          <w:p w14:paraId="684AD4EB" w14:textId="3E63AF3F" w:rsidR="00E8319B" w:rsidRPr="00362976" w:rsidRDefault="00362976" w:rsidP="004578ED">
            <w:pPr>
              <w:rPr>
                <w:b/>
                <w:bCs/>
              </w:rPr>
            </w:pPr>
            <w:r w:rsidRPr="00362976">
              <w:rPr>
                <w:b/>
                <w:bCs/>
              </w:rPr>
              <w:t>Distribute</w:t>
            </w:r>
            <w:r w:rsidR="00E53C79">
              <w:rPr>
                <w:b/>
                <w:bCs/>
              </w:rPr>
              <w:t xml:space="preserve"> presentation</w:t>
            </w:r>
            <w:r w:rsidRPr="00362976">
              <w:rPr>
                <w:b/>
                <w:bCs/>
              </w:rPr>
              <w:t xml:space="preserve"> slides.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808080" w:themeColor="text1" w:themeTint="7F"/>
            </w:tcBorders>
          </w:tcPr>
          <w:p w14:paraId="1A1835F8" w14:textId="77777777" w:rsidR="00B1566E" w:rsidRPr="00682B7B" w:rsidRDefault="00B1566E" w:rsidP="004802E3">
            <w:pPr>
              <w:rPr>
                <w:b/>
                <w:bCs/>
              </w:rPr>
            </w:pPr>
          </w:p>
          <w:p w14:paraId="3DF12951" w14:textId="77777777" w:rsidR="00657101" w:rsidRDefault="00657101" w:rsidP="004802E3">
            <w:pPr>
              <w:rPr>
                <w:b/>
                <w:bCs/>
              </w:rPr>
            </w:pPr>
          </w:p>
          <w:p w14:paraId="28F94921" w14:textId="77777777" w:rsidR="00657101" w:rsidRDefault="00657101" w:rsidP="004802E3">
            <w:pPr>
              <w:rPr>
                <w:b/>
                <w:bCs/>
              </w:rPr>
            </w:pPr>
          </w:p>
          <w:p w14:paraId="63886273" w14:textId="77777777" w:rsidR="00657101" w:rsidRDefault="00657101" w:rsidP="004802E3">
            <w:pPr>
              <w:rPr>
                <w:b/>
                <w:bCs/>
              </w:rPr>
            </w:pPr>
          </w:p>
          <w:p w14:paraId="03341821" w14:textId="77777777" w:rsidR="00657101" w:rsidRDefault="00657101" w:rsidP="004802E3">
            <w:pPr>
              <w:rPr>
                <w:b/>
                <w:bCs/>
              </w:rPr>
            </w:pPr>
          </w:p>
          <w:p w14:paraId="72AA4249" w14:textId="77777777" w:rsidR="00657101" w:rsidRDefault="00657101" w:rsidP="004802E3">
            <w:pPr>
              <w:rPr>
                <w:b/>
                <w:bCs/>
              </w:rPr>
            </w:pPr>
          </w:p>
          <w:p w14:paraId="665B835B" w14:textId="73CDA545" w:rsidR="00362976" w:rsidRPr="00362976" w:rsidRDefault="00362976" w:rsidP="004802E3">
            <w:pPr>
              <w:rPr>
                <w:b/>
                <w:bCs/>
              </w:rPr>
            </w:pPr>
            <w:r w:rsidRPr="00362976">
              <w:rPr>
                <w:b/>
                <w:bCs/>
              </w:rPr>
              <w:t xml:space="preserve">HM Staff. </w:t>
            </w:r>
          </w:p>
        </w:tc>
      </w:tr>
      <w:tr w:rsidR="00A014F8" w:rsidRPr="002C6302" w14:paraId="0BB58641" w14:textId="77777777" w:rsidTr="002A305D">
        <w:trPr>
          <w:trHeight w:val="1700"/>
        </w:trPr>
        <w:tc>
          <w:tcPr>
            <w:tcW w:w="0" w:type="auto"/>
          </w:tcPr>
          <w:p w14:paraId="15C956A5" w14:textId="77777777" w:rsidR="00617DFF" w:rsidRDefault="00617DFF" w:rsidP="008D03E7">
            <w:pPr>
              <w:contextualSpacing/>
              <w:rPr>
                <w:b/>
                <w:bCs/>
              </w:rPr>
            </w:pPr>
          </w:p>
          <w:p w14:paraId="31281824" w14:textId="0DCDD80F" w:rsidR="007F277A" w:rsidRDefault="00C32969" w:rsidP="008D03E7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Move More Montgomery – Update</w:t>
            </w:r>
          </w:p>
          <w:p w14:paraId="0E371FAD" w14:textId="6A429BA0" w:rsidR="00C32969" w:rsidRPr="00C32969" w:rsidRDefault="00C32969" w:rsidP="008D03E7">
            <w:pPr>
              <w:contextualSpacing/>
              <w:rPr>
                <w:bCs/>
                <w:i/>
              </w:rPr>
            </w:pPr>
            <w:r>
              <w:rPr>
                <w:bCs/>
                <w:i/>
              </w:rPr>
              <w:t>Joanne Roberts, Montgomery County Recreation</w:t>
            </w:r>
          </w:p>
        </w:tc>
        <w:tc>
          <w:tcPr>
            <w:tcW w:w="7685" w:type="dxa"/>
          </w:tcPr>
          <w:p w14:paraId="77F2005C" w14:textId="77777777" w:rsidR="00EC28AD" w:rsidRDefault="00EC28AD" w:rsidP="00AA6474"/>
          <w:p w14:paraId="179F6C25" w14:textId="6F4FC251" w:rsidR="00063BE8" w:rsidRDefault="001B2512" w:rsidP="009A71D7">
            <w:r>
              <w:t xml:space="preserve">The Move More Montgomery festival was recently held to celebrate the </w:t>
            </w:r>
            <w:r w:rsidR="00314A49">
              <w:t>completion</w:t>
            </w:r>
            <w:r>
              <w:t xml:space="preserve"> of the </w:t>
            </w:r>
            <w:r w:rsidR="00314A49">
              <w:t xml:space="preserve">county-wide </w:t>
            </w:r>
            <w:r>
              <w:t>100 Mile Challenge.</w:t>
            </w:r>
            <w:r w:rsidR="00AE4E4A">
              <w:t xml:space="preserve"> The Challenge urges residents to walk, jog, or run 100 miles in 100 days.</w:t>
            </w:r>
            <w:r>
              <w:t xml:space="preserve"> </w:t>
            </w:r>
            <w:r w:rsidR="00063BE8" w:rsidRPr="00063BE8">
              <w:t xml:space="preserve">Residents who completed the challenge by walking or running 100 miles in 100 days </w:t>
            </w:r>
            <w:r w:rsidR="0039366B">
              <w:t xml:space="preserve">were </w:t>
            </w:r>
            <w:r w:rsidR="00063BE8" w:rsidRPr="00063BE8">
              <w:t xml:space="preserve">recognized at the </w:t>
            </w:r>
            <w:r w:rsidR="0039366B">
              <w:t>festival</w:t>
            </w:r>
            <w:r w:rsidR="00063BE8" w:rsidRPr="00063BE8">
              <w:t xml:space="preserve">. </w:t>
            </w:r>
          </w:p>
          <w:p w14:paraId="1E55C29D" w14:textId="77777777" w:rsidR="00063BE8" w:rsidRDefault="00063BE8" w:rsidP="009A71D7"/>
          <w:p w14:paraId="0F1D762B" w14:textId="66503193" w:rsidR="00AD25F2" w:rsidRDefault="00250EDB" w:rsidP="009A71D7">
            <w:r>
              <w:t>Approximately 500 p</w:t>
            </w:r>
            <w:r w:rsidR="00B2116A">
              <w:t xml:space="preserve">articipants logged 170,000 miles, averaging about 370 miles per person. Of those who completed the participant survey, 91% were active before, 56% wanted to get healthier, and 82% </w:t>
            </w:r>
            <w:r w:rsidR="0039366B">
              <w:t xml:space="preserve">indicated they </w:t>
            </w:r>
            <w:r w:rsidR="00B2116A">
              <w:t xml:space="preserve">would participate again. </w:t>
            </w:r>
          </w:p>
          <w:p w14:paraId="45A489AA" w14:textId="1F1F6598" w:rsidR="00B2116A" w:rsidRDefault="00B2116A" w:rsidP="009A71D7"/>
          <w:p w14:paraId="3B32B60E" w14:textId="77777777" w:rsidR="00B2116A" w:rsidRDefault="00B2116A" w:rsidP="009A71D7">
            <w:r>
              <w:t xml:space="preserve">In preparation for next year, the focus </w:t>
            </w:r>
            <w:r w:rsidR="0039366B">
              <w:t>is</w:t>
            </w:r>
            <w:r>
              <w:t xml:space="preserve"> to improve evaluation efforts, </w:t>
            </w:r>
            <w:r w:rsidR="00AE4E4A">
              <w:t xml:space="preserve">establish </w:t>
            </w:r>
            <w:r>
              <w:t>connections with schools</w:t>
            </w:r>
            <w:r w:rsidR="00AE4E4A">
              <w:t>, and develop a</w:t>
            </w:r>
            <w:r w:rsidR="00063BE8">
              <w:t>n</w:t>
            </w:r>
            <w:r w:rsidR="00AE4E4A">
              <w:t xml:space="preserve"> electronic tracking system</w:t>
            </w:r>
            <w:r>
              <w:t>.</w:t>
            </w:r>
          </w:p>
          <w:p w14:paraId="61EDF8BD" w14:textId="791BD120" w:rsidR="004013F4" w:rsidRPr="00682B7B" w:rsidRDefault="004013F4" w:rsidP="009A71D7"/>
        </w:tc>
        <w:tc>
          <w:tcPr>
            <w:tcW w:w="1800" w:type="dxa"/>
          </w:tcPr>
          <w:p w14:paraId="016C43E7" w14:textId="01B5D3E7" w:rsidR="00362F83" w:rsidRPr="00682B7B" w:rsidRDefault="00362F83" w:rsidP="008F230F">
            <w:pPr>
              <w:rPr>
                <w:b/>
              </w:rPr>
            </w:pPr>
          </w:p>
        </w:tc>
        <w:tc>
          <w:tcPr>
            <w:tcW w:w="1800" w:type="dxa"/>
          </w:tcPr>
          <w:p w14:paraId="4758C54C" w14:textId="1BA4B9D5" w:rsidR="008F230F" w:rsidRPr="00682B7B" w:rsidRDefault="008F230F" w:rsidP="008F494B">
            <w:pPr>
              <w:rPr>
                <w:b/>
              </w:rPr>
            </w:pPr>
          </w:p>
          <w:p w14:paraId="163796C7" w14:textId="6DA01573" w:rsidR="008F230F" w:rsidRPr="00682B7B" w:rsidRDefault="008F230F" w:rsidP="008F494B">
            <w:pPr>
              <w:rPr>
                <w:b/>
              </w:rPr>
            </w:pPr>
          </w:p>
          <w:p w14:paraId="3163CFB8" w14:textId="5D2491E5" w:rsidR="008F230F" w:rsidRPr="00682B7B" w:rsidRDefault="008F230F" w:rsidP="008F494B">
            <w:pPr>
              <w:rPr>
                <w:b/>
              </w:rPr>
            </w:pPr>
          </w:p>
          <w:p w14:paraId="3175B535" w14:textId="62806BEE" w:rsidR="00362F83" w:rsidRPr="00682B7B" w:rsidRDefault="00362F83" w:rsidP="008F494B">
            <w:pPr>
              <w:rPr>
                <w:b/>
              </w:rPr>
            </w:pPr>
          </w:p>
        </w:tc>
      </w:tr>
      <w:tr w:rsidR="00A014F8" w:rsidRPr="002C6302" w14:paraId="790C3C9B" w14:textId="77777777" w:rsidTr="002A305D">
        <w:trPr>
          <w:trHeight w:val="755"/>
        </w:trPr>
        <w:tc>
          <w:tcPr>
            <w:tcW w:w="0" w:type="auto"/>
          </w:tcPr>
          <w:p w14:paraId="39E19358" w14:textId="77777777" w:rsidR="00EC28AD" w:rsidRDefault="00EC28AD" w:rsidP="00943835">
            <w:pPr>
              <w:contextualSpacing/>
              <w:rPr>
                <w:rFonts w:eastAsia="Arial Unicode MS"/>
                <w:b/>
                <w:bCs/>
              </w:rPr>
            </w:pPr>
          </w:p>
          <w:p w14:paraId="11439909" w14:textId="5909BC9E" w:rsidR="00C32969" w:rsidRPr="00A833E5" w:rsidRDefault="00C32969" w:rsidP="00C32969">
            <w:pPr>
              <w:rPr>
                <w:b/>
                <w:bCs/>
              </w:rPr>
            </w:pPr>
            <w:r>
              <w:rPr>
                <w:b/>
                <w:bCs/>
              </w:rPr>
              <w:t>Healthy Montgomery Moving Forward</w:t>
            </w:r>
          </w:p>
          <w:p w14:paraId="4DEC1BFB" w14:textId="7B98C154" w:rsidR="007F277A" w:rsidRPr="0011139C" w:rsidRDefault="00C32969" w:rsidP="00C32969">
            <w:pPr>
              <w:contextualSpacing/>
              <w:rPr>
                <w:bCs/>
                <w:i/>
              </w:rPr>
            </w:pPr>
            <w:r>
              <w:rPr>
                <w:i/>
                <w:iCs/>
              </w:rPr>
              <w:t>Uma Ahluwalia, DHHS</w:t>
            </w:r>
          </w:p>
        </w:tc>
        <w:tc>
          <w:tcPr>
            <w:tcW w:w="7685" w:type="dxa"/>
          </w:tcPr>
          <w:p w14:paraId="33091CFF" w14:textId="77777777" w:rsidR="00EC28AD" w:rsidRDefault="00EC28AD" w:rsidP="00FB4835">
            <w:pPr>
              <w:tabs>
                <w:tab w:val="left" w:pos="432"/>
              </w:tabs>
            </w:pPr>
          </w:p>
          <w:p w14:paraId="1B2B4ECD" w14:textId="238A5B66" w:rsidR="00887E73" w:rsidRDefault="00250EDB" w:rsidP="00000882">
            <w:pPr>
              <w:tabs>
                <w:tab w:val="left" w:pos="432"/>
              </w:tabs>
            </w:pPr>
            <w:r>
              <w:t xml:space="preserve">DHHS is interested in establishing the Healthy Montgomery Steering Committee (HMSC) as an official Montgomery County Board/Committee/Commission (BCC). </w:t>
            </w:r>
            <w:r w:rsidR="00887E73">
              <w:t xml:space="preserve">The HMSC discussed the advantages of becoming a BCC. The goal is to ensure sustainability of the Healthy Montgomery </w:t>
            </w:r>
            <w:r w:rsidR="0039366B">
              <w:t xml:space="preserve">local </w:t>
            </w:r>
            <w:r w:rsidR="00887E73">
              <w:t>health improvement coalition.</w:t>
            </w:r>
          </w:p>
          <w:p w14:paraId="390D77AA" w14:textId="77777777" w:rsidR="00250EDB" w:rsidRDefault="00250EDB" w:rsidP="00000882">
            <w:pPr>
              <w:tabs>
                <w:tab w:val="left" w:pos="432"/>
              </w:tabs>
            </w:pPr>
          </w:p>
          <w:p w14:paraId="386A21B1" w14:textId="251D1A41" w:rsidR="006925CB" w:rsidRDefault="00250EDB" w:rsidP="00000882">
            <w:pPr>
              <w:tabs>
                <w:tab w:val="left" w:pos="432"/>
              </w:tabs>
            </w:pPr>
            <w:r>
              <w:t xml:space="preserve">The group voted in favor of pursuing further analysis to assess the </w:t>
            </w:r>
            <w:r w:rsidR="00763556">
              <w:t>benefits</w:t>
            </w:r>
            <w:r>
              <w:t xml:space="preserve"> of seeking BCC status</w:t>
            </w:r>
            <w:r w:rsidR="0039366B">
              <w:t xml:space="preserve">. By show of hands </w:t>
            </w:r>
            <w:r w:rsidR="0039366B" w:rsidRPr="002A305D">
              <w:t>17</w:t>
            </w:r>
            <w:r w:rsidR="0039366B">
              <w:t xml:space="preserve"> Yes votes and 1 Abstention were counted</w:t>
            </w:r>
            <w:r>
              <w:t>.</w:t>
            </w:r>
            <w:r w:rsidR="000B710E">
              <w:t xml:space="preserve"> </w:t>
            </w:r>
            <w:r w:rsidR="007310D1">
              <w:t xml:space="preserve">DHHS </w:t>
            </w:r>
            <w:r w:rsidR="000B710E">
              <w:t>will commence the evaluation process regarding BCC designation during the summer months</w:t>
            </w:r>
            <w:r w:rsidR="00763556">
              <w:t xml:space="preserve">. </w:t>
            </w:r>
          </w:p>
          <w:p w14:paraId="1D8AE69B" w14:textId="77777777" w:rsidR="006925CB" w:rsidRDefault="006925CB" w:rsidP="00000882">
            <w:pPr>
              <w:tabs>
                <w:tab w:val="left" w:pos="432"/>
              </w:tabs>
            </w:pPr>
          </w:p>
          <w:p w14:paraId="08AB6229" w14:textId="02C93454" w:rsidR="006925CB" w:rsidRDefault="0039366B" w:rsidP="00000882">
            <w:pPr>
              <w:tabs>
                <w:tab w:val="left" w:pos="432"/>
              </w:tabs>
            </w:pPr>
            <w:r>
              <w:t xml:space="preserve">Healthy Montgomery aims </w:t>
            </w:r>
            <w:r w:rsidR="006925CB">
              <w:t xml:space="preserve">to revise the voting process used during future HMSC sessions to ensure the accuracy of the vote count. These changes will be introduced in </w:t>
            </w:r>
            <w:r w:rsidR="00EF6AEF">
              <w:t>F</w:t>
            </w:r>
            <w:r w:rsidR="006925CB">
              <w:t>all</w:t>
            </w:r>
            <w:r>
              <w:t xml:space="preserve"> of 2017</w:t>
            </w:r>
            <w:r w:rsidR="006925CB">
              <w:t xml:space="preserve">. </w:t>
            </w:r>
          </w:p>
          <w:p w14:paraId="668CCE91" w14:textId="77777777" w:rsidR="006925CB" w:rsidRDefault="006925CB" w:rsidP="00000882">
            <w:pPr>
              <w:tabs>
                <w:tab w:val="left" w:pos="432"/>
              </w:tabs>
            </w:pPr>
          </w:p>
          <w:p w14:paraId="0A0F8272" w14:textId="6C9E9374" w:rsidR="00763556" w:rsidRDefault="007310D1" w:rsidP="00000882">
            <w:pPr>
              <w:tabs>
                <w:tab w:val="left" w:pos="432"/>
              </w:tabs>
            </w:pPr>
            <w:r>
              <w:t xml:space="preserve">A sub-set of </w:t>
            </w:r>
            <w:r w:rsidR="00763556">
              <w:t xml:space="preserve">HMSC </w:t>
            </w:r>
            <w:r>
              <w:t>members will be recruited to assist with a new member recruitment</w:t>
            </w:r>
            <w:r w:rsidR="00763556">
              <w:t xml:space="preserve"> campaign. The sub-committee will present recommendations to the co-chairs and the HMSC during the September meeting this Fall.</w:t>
            </w:r>
          </w:p>
          <w:p w14:paraId="75FA3C64" w14:textId="7D964CDC" w:rsidR="00763556" w:rsidRPr="004B5368" w:rsidRDefault="00763556" w:rsidP="00000882">
            <w:pPr>
              <w:tabs>
                <w:tab w:val="left" w:pos="432"/>
              </w:tabs>
            </w:pPr>
          </w:p>
        </w:tc>
        <w:tc>
          <w:tcPr>
            <w:tcW w:w="1800" w:type="dxa"/>
          </w:tcPr>
          <w:p w14:paraId="50000431" w14:textId="77777777" w:rsidR="00A00B87" w:rsidRPr="004B5368" w:rsidRDefault="00A00B87" w:rsidP="00A00B87">
            <w:pPr>
              <w:rPr>
                <w:b/>
              </w:rPr>
            </w:pPr>
          </w:p>
          <w:p w14:paraId="40B82ABE" w14:textId="77777777" w:rsidR="00A00B87" w:rsidRPr="004B5368" w:rsidRDefault="00A00B87" w:rsidP="00A00B87">
            <w:pPr>
              <w:rPr>
                <w:b/>
              </w:rPr>
            </w:pPr>
          </w:p>
          <w:p w14:paraId="3A48766D" w14:textId="77777777" w:rsidR="000C04D4" w:rsidRPr="004B5368" w:rsidRDefault="000C04D4" w:rsidP="00A00B87">
            <w:pPr>
              <w:rPr>
                <w:b/>
              </w:rPr>
            </w:pPr>
          </w:p>
          <w:p w14:paraId="130B1203" w14:textId="4BD9B138" w:rsidR="000C04D4" w:rsidRDefault="000C04D4" w:rsidP="00A00B87">
            <w:pPr>
              <w:rPr>
                <w:b/>
              </w:rPr>
            </w:pPr>
          </w:p>
          <w:p w14:paraId="797090CD" w14:textId="02554FF2" w:rsidR="00887E73" w:rsidRDefault="00887E73" w:rsidP="00A00B87">
            <w:pPr>
              <w:rPr>
                <w:b/>
              </w:rPr>
            </w:pPr>
          </w:p>
          <w:p w14:paraId="1DE8A466" w14:textId="77777777" w:rsidR="00887E73" w:rsidRPr="004B5368" w:rsidRDefault="00887E73" w:rsidP="00A00B87">
            <w:pPr>
              <w:rPr>
                <w:b/>
              </w:rPr>
            </w:pPr>
          </w:p>
          <w:p w14:paraId="731ABEBB" w14:textId="77777777" w:rsidR="000C04D4" w:rsidRPr="004B5368" w:rsidRDefault="000C04D4" w:rsidP="00A00B87">
            <w:pPr>
              <w:rPr>
                <w:b/>
              </w:rPr>
            </w:pPr>
          </w:p>
          <w:p w14:paraId="1BEBC683" w14:textId="4C8869F8" w:rsidR="000C04D4" w:rsidRPr="000B710E" w:rsidRDefault="000B710E" w:rsidP="000B710E">
            <w:r>
              <w:t>Eval</w:t>
            </w:r>
            <w:r w:rsidR="00A014F8">
              <w:t>uation</w:t>
            </w:r>
            <w:r>
              <w:t xml:space="preserve"> of BCC designation.</w:t>
            </w:r>
          </w:p>
        </w:tc>
        <w:tc>
          <w:tcPr>
            <w:tcW w:w="1800" w:type="dxa"/>
          </w:tcPr>
          <w:p w14:paraId="26F4EE4C" w14:textId="77777777" w:rsidR="007F277A" w:rsidRPr="004B5368" w:rsidRDefault="007F277A" w:rsidP="00727606">
            <w:pPr>
              <w:rPr>
                <w:b/>
              </w:rPr>
            </w:pPr>
          </w:p>
          <w:p w14:paraId="034AAAA4" w14:textId="77777777" w:rsidR="000C04D4" w:rsidRPr="004B5368" w:rsidRDefault="000C04D4" w:rsidP="00727606">
            <w:pPr>
              <w:rPr>
                <w:b/>
              </w:rPr>
            </w:pPr>
          </w:p>
          <w:p w14:paraId="245A1DD2" w14:textId="77777777" w:rsidR="000C04D4" w:rsidRDefault="000C04D4" w:rsidP="00727606">
            <w:pPr>
              <w:rPr>
                <w:b/>
              </w:rPr>
            </w:pPr>
          </w:p>
          <w:p w14:paraId="5E78C42F" w14:textId="761B071B" w:rsidR="000B710E" w:rsidRDefault="000B710E" w:rsidP="00727606">
            <w:pPr>
              <w:rPr>
                <w:b/>
              </w:rPr>
            </w:pPr>
          </w:p>
          <w:p w14:paraId="05EC8C26" w14:textId="4B075C50" w:rsidR="00887E73" w:rsidRDefault="00887E73" w:rsidP="00727606">
            <w:pPr>
              <w:rPr>
                <w:b/>
              </w:rPr>
            </w:pPr>
          </w:p>
          <w:p w14:paraId="746D4DD7" w14:textId="77777777" w:rsidR="00887E73" w:rsidRDefault="00887E73" w:rsidP="00727606">
            <w:pPr>
              <w:rPr>
                <w:b/>
              </w:rPr>
            </w:pPr>
          </w:p>
          <w:p w14:paraId="29329932" w14:textId="77777777" w:rsidR="000B710E" w:rsidRDefault="000B710E" w:rsidP="00727606">
            <w:pPr>
              <w:rPr>
                <w:b/>
              </w:rPr>
            </w:pPr>
          </w:p>
          <w:p w14:paraId="730DABD7" w14:textId="6729B919" w:rsidR="000B710E" w:rsidRPr="004B5368" w:rsidRDefault="00EF6AEF" w:rsidP="000B710E">
            <w:pPr>
              <w:rPr>
                <w:b/>
              </w:rPr>
            </w:pPr>
            <w:r>
              <w:rPr>
                <w:b/>
              </w:rPr>
              <w:t>HM Staff</w:t>
            </w:r>
          </w:p>
          <w:p w14:paraId="3F2B3E92" w14:textId="6C6992D3" w:rsidR="000B710E" w:rsidRPr="004B5368" w:rsidRDefault="000B710E" w:rsidP="00727606">
            <w:pPr>
              <w:rPr>
                <w:b/>
              </w:rPr>
            </w:pPr>
          </w:p>
        </w:tc>
      </w:tr>
      <w:tr w:rsidR="00A014F8" w:rsidRPr="002C6302" w14:paraId="176E13B2" w14:textId="77777777" w:rsidTr="002A305D">
        <w:trPr>
          <w:trHeight w:val="755"/>
        </w:trPr>
        <w:tc>
          <w:tcPr>
            <w:tcW w:w="0" w:type="auto"/>
          </w:tcPr>
          <w:p w14:paraId="48C70D77" w14:textId="77777777" w:rsidR="00E0038D" w:rsidRDefault="00E0038D" w:rsidP="00943835">
            <w:pPr>
              <w:contextualSpacing/>
              <w:rPr>
                <w:rFonts w:eastAsia="Arial Unicode MS"/>
                <w:b/>
                <w:bCs/>
              </w:rPr>
            </w:pPr>
          </w:p>
          <w:p w14:paraId="7338D93E" w14:textId="25304B57" w:rsidR="00943835" w:rsidRDefault="00C32969" w:rsidP="00943835">
            <w:pPr>
              <w:contextualSpacing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2017 – 2019 Community Health Improvement Plan – Feedback</w:t>
            </w:r>
          </w:p>
          <w:p w14:paraId="3211BD74" w14:textId="77777777" w:rsidR="007C41CB" w:rsidRDefault="00C32969" w:rsidP="00943835">
            <w:pPr>
              <w:contextualSpacing/>
              <w:rPr>
                <w:rFonts w:eastAsia="Arial Unicode MS"/>
                <w:bCs/>
                <w:i/>
              </w:rPr>
            </w:pPr>
            <w:r>
              <w:rPr>
                <w:rFonts w:eastAsia="Arial Unicode MS"/>
                <w:bCs/>
                <w:i/>
              </w:rPr>
              <w:t>Karen Thompkins, DHHS</w:t>
            </w:r>
          </w:p>
          <w:p w14:paraId="0E55A979" w14:textId="2DB6DB78" w:rsidR="004013F4" w:rsidRPr="004013F4" w:rsidRDefault="004013F4" w:rsidP="00943835">
            <w:pPr>
              <w:contextualSpacing/>
              <w:rPr>
                <w:rFonts w:eastAsia="Arial Unicode MS"/>
                <w:bCs/>
                <w:i/>
              </w:rPr>
            </w:pPr>
          </w:p>
        </w:tc>
        <w:tc>
          <w:tcPr>
            <w:tcW w:w="7685" w:type="dxa"/>
          </w:tcPr>
          <w:p w14:paraId="64FD8BA9" w14:textId="77777777" w:rsidR="002C5654" w:rsidRDefault="002C5654" w:rsidP="00943835">
            <w:pPr>
              <w:tabs>
                <w:tab w:val="left" w:pos="432"/>
              </w:tabs>
            </w:pPr>
          </w:p>
          <w:p w14:paraId="70AC9CF1" w14:textId="08CD7E2D" w:rsidR="006925CB" w:rsidRDefault="006925CB" w:rsidP="00943835">
            <w:pPr>
              <w:tabs>
                <w:tab w:val="left" w:pos="432"/>
              </w:tabs>
            </w:pPr>
            <w:r>
              <w:t xml:space="preserve">Ms. Thompkins </w:t>
            </w:r>
            <w:r w:rsidR="002D491B">
              <w:t>gave</w:t>
            </w:r>
            <w:r>
              <w:t xml:space="preserve"> an overview of feedback received regarding the 2017 – 2019 CHIP</w:t>
            </w:r>
            <w:r w:rsidR="00E0038D">
              <w:t xml:space="preserve">. </w:t>
            </w:r>
            <w:r>
              <w:t xml:space="preserve">The CHIP will be posted for community comment through the end of June. </w:t>
            </w:r>
            <w:r w:rsidR="00E0038D">
              <w:t xml:space="preserve">Healthy Montgomery will send </w:t>
            </w:r>
            <w:r w:rsidR="0039366B">
              <w:t xml:space="preserve">a second </w:t>
            </w:r>
            <w:r>
              <w:t xml:space="preserve">email requesting feedback to the HMSC distribution list this week.  </w:t>
            </w:r>
          </w:p>
          <w:p w14:paraId="5517F1DC" w14:textId="77777777" w:rsidR="006925CB" w:rsidRDefault="006925CB" w:rsidP="00943835">
            <w:pPr>
              <w:tabs>
                <w:tab w:val="left" w:pos="432"/>
              </w:tabs>
            </w:pPr>
          </w:p>
          <w:p w14:paraId="07533305" w14:textId="62CC5CFB" w:rsidR="006925CB" w:rsidRDefault="006925CB" w:rsidP="00943835">
            <w:pPr>
              <w:tabs>
                <w:tab w:val="left" w:pos="432"/>
              </w:tabs>
            </w:pPr>
            <w:r>
              <w:t xml:space="preserve"> </w:t>
            </w:r>
          </w:p>
        </w:tc>
        <w:tc>
          <w:tcPr>
            <w:tcW w:w="1800" w:type="dxa"/>
          </w:tcPr>
          <w:p w14:paraId="0B48C031" w14:textId="77777777" w:rsidR="006925CB" w:rsidRDefault="006925CB" w:rsidP="00A00B87">
            <w:pPr>
              <w:rPr>
                <w:b/>
              </w:rPr>
            </w:pPr>
          </w:p>
          <w:p w14:paraId="1DD8F2CD" w14:textId="00A5CD4A" w:rsidR="006925CB" w:rsidRPr="004B5368" w:rsidRDefault="006925CB" w:rsidP="00A00B87">
            <w:pPr>
              <w:rPr>
                <w:b/>
              </w:rPr>
            </w:pPr>
            <w:r>
              <w:rPr>
                <w:b/>
              </w:rPr>
              <w:t>Send CHIP &amp; survey link.</w:t>
            </w:r>
          </w:p>
        </w:tc>
        <w:tc>
          <w:tcPr>
            <w:tcW w:w="1800" w:type="dxa"/>
          </w:tcPr>
          <w:p w14:paraId="61709B63" w14:textId="77777777" w:rsidR="007C41CB" w:rsidRDefault="007C41CB" w:rsidP="00727606">
            <w:pPr>
              <w:rPr>
                <w:b/>
              </w:rPr>
            </w:pPr>
          </w:p>
          <w:p w14:paraId="26E76DDA" w14:textId="495D87FC" w:rsidR="006925CB" w:rsidRPr="004B5368" w:rsidRDefault="006925CB" w:rsidP="00727606">
            <w:pPr>
              <w:rPr>
                <w:b/>
              </w:rPr>
            </w:pPr>
            <w:r>
              <w:rPr>
                <w:b/>
              </w:rPr>
              <w:t>HM Staff</w:t>
            </w:r>
          </w:p>
        </w:tc>
      </w:tr>
      <w:tr w:rsidR="00A014F8" w:rsidRPr="002C6302" w14:paraId="6E326816" w14:textId="77777777" w:rsidTr="002A305D">
        <w:trPr>
          <w:trHeight w:val="755"/>
        </w:trPr>
        <w:tc>
          <w:tcPr>
            <w:tcW w:w="0" w:type="auto"/>
          </w:tcPr>
          <w:p w14:paraId="6C8F02A8" w14:textId="77777777" w:rsidR="00E0038D" w:rsidRDefault="00E0038D" w:rsidP="007C41CB">
            <w:pPr>
              <w:contextualSpacing/>
              <w:rPr>
                <w:rFonts w:eastAsia="Arial Unicode MS"/>
                <w:b/>
                <w:bCs/>
              </w:rPr>
            </w:pPr>
          </w:p>
          <w:p w14:paraId="2D5E666E" w14:textId="36166792" w:rsidR="007C41CB" w:rsidRPr="00865069" w:rsidRDefault="00EB6701" w:rsidP="002A305D">
            <w:pPr>
              <w:contextualSpacing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Hospital Work Group</w:t>
            </w:r>
            <w:r w:rsidR="00C32969">
              <w:rPr>
                <w:rFonts w:eastAsia="Arial Unicode MS"/>
                <w:b/>
                <w:bCs/>
              </w:rPr>
              <w:t xml:space="preserve"> – Update</w:t>
            </w:r>
            <w:r w:rsidR="00C32969">
              <w:rPr>
                <w:rFonts w:eastAsia="Arial Unicode MS"/>
                <w:b/>
                <w:bCs/>
                <w:i/>
              </w:rPr>
              <w:t xml:space="preserve">, </w:t>
            </w:r>
            <w:r w:rsidR="00C32969">
              <w:rPr>
                <w:rFonts w:eastAsia="Arial Unicode MS"/>
                <w:bCs/>
                <w:i/>
              </w:rPr>
              <w:t>Dairy Marroquin</w:t>
            </w:r>
            <w:r w:rsidR="003B2E45">
              <w:rPr>
                <w:rFonts w:eastAsia="Arial Unicode MS"/>
                <w:bCs/>
              </w:rPr>
              <w:t xml:space="preserve"> (</w:t>
            </w:r>
            <w:r w:rsidR="00C32969">
              <w:rPr>
                <w:rFonts w:eastAsia="Arial Unicode MS"/>
                <w:bCs/>
                <w:i/>
              </w:rPr>
              <w:t>MedStar Montgomery</w:t>
            </w:r>
            <w:r w:rsidR="003B2E45">
              <w:rPr>
                <w:rFonts w:eastAsia="Arial Unicode MS"/>
                <w:bCs/>
                <w:i/>
              </w:rPr>
              <w:t>)</w:t>
            </w:r>
          </w:p>
        </w:tc>
        <w:tc>
          <w:tcPr>
            <w:tcW w:w="7685" w:type="dxa"/>
          </w:tcPr>
          <w:p w14:paraId="7D787BAA" w14:textId="77777777" w:rsidR="00AD25F2" w:rsidRDefault="00AD25F2" w:rsidP="002C5654">
            <w:pPr>
              <w:tabs>
                <w:tab w:val="left" w:pos="432"/>
              </w:tabs>
            </w:pPr>
          </w:p>
          <w:p w14:paraId="198C5FC2" w14:textId="12CD3290" w:rsidR="002A305D" w:rsidRDefault="00E0038D" w:rsidP="002A305D">
            <w:pPr>
              <w:tabs>
                <w:tab w:val="left" w:pos="432"/>
              </w:tabs>
            </w:pPr>
            <w:r>
              <w:t>The Hospi</w:t>
            </w:r>
            <w:r w:rsidR="002D491B">
              <w:t xml:space="preserve">tal Workgroup continues to meet </w:t>
            </w:r>
            <w:r>
              <w:t>to strengthen collaboration across the hospital systems in the County. The group recently met with DHHS Director and Healthy Montgomery to d</w:t>
            </w:r>
            <w:r w:rsidR="0039366B">
              <w:t xml:space="preserve">iscuss ongoing activities. The </w:t>
            </w:r>
            <w:r w:rsidR="0039366B">
              <w:lastRenderedPageBreak/>
              <w:t>w</w:t>
            </w:r>
            <w:r>
              <w:t xml:space="preserve">orkgroup would like to request time on the agenda in the Fall to provide a presentation of cumulative data collected so far. </w:t>
            </w:r>
          </w:p>
        </w:tc>
        <w:tc>
          <w:tcPr>
            <w:tcW w:w="1800" w:type="dxa"/>
          </w:tcPr>
          <w:p w14:paraId="12C9CFA2" w14:textId="77777777" w:rsidR="007C41CB" w:rsidRDefault="007C41CB" w:rsidP="00A00B87">
            <w:pPr>
              <w:rPr>
                <w:b/>
              </w:rPr>
            </w:pPr>
          </w:p>
          <w:p w14:paraId="39425F22" w14:textId="2413441A" w:rsidR="00E0038D" w:rsidRPr="006803E3" w:rsidRDefault="00E0038D" w:rsidP="00A00B87">
            <w:pPr>
              <w:rPr>
                <w:b/>
              </w:rPr>
            </w:pPr>
            <w:r>
              <w:rPr>
                <w:b/>
              </w:rPr>
              <w:t xml:space="preserve">Add hospital workgroup to September </w:t>
            </w:r>
            <w:r>
              <w:rPr>
                <w:b/>
              </w:rPr>
              <w:lastRenderedPageBreak/>
              <w:t>meeting agenda.</w:t>
            </w:r>
          </w:p>
        </w:tc>
        <w:tc>
          <w:tcPr>
            <w:tcW w:w="1800" w:type="dxa"/>
          </w:tcPr>
          <w:p w14:paraId="27FC84E5" w14:textId="77777777" w:rsidR="007C41CB" w:rsidRDefault="007C41CB" w:rsidP="00727606">
            <w:pPr>
              <w:rPr>
                <w:b/>
              </w:rPr>
            </w:pPr>
          </w:p>
          <w:p w14:paraId="42486408" w14:textId="0B2E142E" w:rsidR="00E0038D" w:rsidRPr="004B5368" w:rsidRDefault="00E0038D" w:rsidP="00727606">
            <w:pPr>
              <w:rPr>
                <w:b/>
              </w:rPr>
            </w:pPr>
            <w:r>
              <w:rPr>
                <w:b/>
              </w:rPr>
              <w:t>HM Staff</w:t>
            </w:r>
          </w:p>
        </w:tc>
      </w:tr>
      <w:tr w:rsidR="00A014F8" w:rsidRPr="002C6302" w14:paraId="12A33CF0" w14:textId="77777777" w:rsidTr="002A305D">
        <w:trPr>
          <w:trHeight w:val="7820"/>
        </w:trPr>
        <w:tc>
          <w:tcPr>
            <w:tcW w:w="0" w:type="auto"/>
            <w:tcBorders>
              <w:top w:val="single" w:sz="4" w:space="0" w:color="808080" w:themeColor="text1" w:themeTint="7F"/>
              <w:bottom w:val="single" w:sz="4" w:space="0" w:color="808080" w:themeColor="text1" w:themeTint="7F"/>
            </w:tcBorders>
          </w:tcPr>
          <w:p w14:paraId="5B623C35" w14:textId="77777777" w:rsidR="0039366B" w:rsidRDefault="0039366B" w:rsidP="008F494B">
            <w:pPr>
              <w:contextualSpacing/>
              <w:rPr>
                <w:b/>
                <w:bCs/>
              </w:rPr>
            </w:pPr>
          </w:p>
          <w:p w14:paraId="2B8B06D8" w14:textId="54E474D0" w:rsidR="007F277A" w:rsidRPr="002C6302" w:rsidRDefault="00EB6701" w:rsidP="008F494B">
            <w:pPr>
              <w:contextualSpacing/>
              <w:rPr>
                <w:bCs/>
                <w:highlight w:val="yellow"/>
              </w:rPr>
            </w:pPr>
            <w:r>
              <w:rPr>
                <w:b/>
                <w:bCs/>
              </w:rPr>
              <w:t>Open Discussion</w:t>
            </w:r>
          </w:p>
        </w:tc>
        <w:tc>
          <w:tcPr>
            <w:tcW w:w="7685" w:type="dxa"/>
            <w:tcBorders>
              <w:top w:val="single" w:sz="4" w:space="0" w:color="808080" w:themeColor="text1" w:themeTint="7F"/>
              <w:bottom w:val="single" w:sz="4" w:space="0" w:color="808080" w:themeColor="text1" w:themeTint="7F"/>
            </w:tcBorders>
            <w:shd w:val="clear" w:color="auto" w:fill="auto"/>
          </w:tcPr>
          <w:p w14:paraId="22A68DB5" w14:textId="77777777" w:rsidR="002A305D" w:rsidRDefault="002A305D" w:rsidP="00EF0627">
            <w:pPr>
              <w:keepNext/>
              <w:keepLines/>
              <w:contextualSpacing/>
              <w:rPr>
                <w:bCs/>
              </w:rPr>
            </w:pPr>
          </w:p>
          <w:p w14:paraId="7A224005" w14:textId="4891F666" w:rsidR="002C5654" w:rsidRDefault="002D491B" w:rsidP="00EF0627">
            <w:pPr>
              <w:keepNext/>
              <w:keepLines/>
              <w:contextualSpacing/>
              <w:rPr>
                <w:bCs/>
              </w:rPr>
            </w:pPr>
            <w:r>
              <w:rPr>
                <w:bCs/>
              </w:rPr>
              <w:t xml:space="preserve">Ms. </w:t>
            </w:r>
            <w:r w:rsidR="007310D1">
              <w:rPr>
                <w:bCs/>
              </w:rPr>
              <w:t xml:space="preserve">Rachel </w:t>
            </w:r>
            <w:r>
              <w:rPr>
                <w:bCs/>
              </w:rPr>
              <w:t>Newhouse shared that the</w:t>
            </w:r>
            <w:r w:rsidR="00A37DB8">
              <w:rPr>
                <w:bCs/>
              </w:rPr>
              <w:t xml:space="preserve"> </w:t>
            </w:r>
            <w:r w:rsidR="00EF6AEF" w:rsidRPr="00C25AEB">
              <w:t xml:space="preserve">Parks and Planning </w:t>
            </w:r>
            <w:r w:rsidR="00A37DB8">
              <w:t>Sustainability</w:t>
            </w:r>
            <w:r w:rsidR="00EF6AEF" w:rsidRPr="00C25AEB">
              <w:t xml:space="preserve"> </w:t>
            </w:r>
            <w:r w:rsidR="00333C58">
              <w:t>Plan</w:t>
            </w:r>
            <w:r>
              <w:rPr>
                <w:bCs/>
              </w:rPr>
              <w:t xml:space="preserve"> incorporates a greater focus on health and wellness, in addition to environment. </w:t>
            </w:r>
            <w:r w:rsidR="00333C58" w:rsidRPr="00333C58">
              <w:rPr>
                <w:bCs/>
              </w:rPr>
              <w:t>The plan covers the strategies, programs, and initiatives to be undertaken by the M-NCPPC Department of Parks and the Department of Planning in Montgomery County to advance sustainability across the agency and the region for the period of July 2017 – June 2019.</w:t>
            </w:r>
          </w:p>
          <w:p w14:paraId="53E4495C" w14:textId="77777777" w:rsidR="002D491B" w:rsidRDefault="002D491B" w:rsidP="00EF0627">
            <w:pPr>
              <w:keepNext/>
              <w:keepLines/>
              <w:contextualSpacing/>
              <w:rPr>
                <w:bCs/>
              </w:rPr>
            </w:pPr>
          </w:p>
          <w:p w14:paraId="05680532" w14:textId="780CCF7A" w:rsidR="002D491B" w:rsidRDefault="002D491B" w:rsidP="00EF0627">
            <w:pPr>
              <w:keepNext/>
              <w:keepLines/>
              <w:contextualSpacing/>
              <w:rPr>
                <w:bCs/>
              </w:rPr>
            </w:pPr>
            <w:r>
              <w:rPr>
                <w:bCs/>
              </w:rPr>
              <w:t xml:space="preserve">Ms. </w:t>
            </w:r>
            <w:r w:rsidR="007310D1">
              <w:rPr>
                <w:bCs/>
              </w:rPr>
              <w:t xml:space="preserve">Amy </w:t>
            </w:r>
            <w:r>
              <w:rPr>
                <w:bCs/>
              </w:rPr>
              <w:t xml:space="preserve">Lindsey provided an update on the activities of the </w:t>
            </w:r>
            <w:proofErr w:type="spellStart"/>
            <w:r>
              <w:rPr>
                <w:bCs/>
              </w:rPr>
              <w:t>HiAP</w:t>
            </w:r>
            <w:proofErr w:type="spellEnd"/>
            <w:r>
              <w:rPr>
                <w:bCs/>
              </w:rPr>
              <w:t xml:space="preserve"> workgroup</w:t>
            </w:r>
            <w:r w:rsidR="00D63889">
              <w:rPr>
                <w:bCs/>
              </w:rPr>
              <w:t xml:space="preserve">. </w:t>
            </w:r>
            <w:r w:rsidR="007310D1">
              <w:rPr>
                <w:bCs/>
              </w:rPr>
              <w:t xml:space="preserve">During </w:t>
            </w:r>
            <w:r w:rsidR="00D63889">
              <w:rPr>
                <w:bCs/>
              </w:rPr>
              <w:t>the most recent meeting, the group was joined by a guest from Fairfax County Health Department</w:t>
            </w:r>
            <w:r w:rsidR="0039366B">
              <w:rPr>
                <w:bCs/>
              </w:rPr>
              <w:t>, S</w:t>
            </w:r>
            <w:r w:rsidR="0039366B" w:rsidRPr="0039366B">
              <w:rPr>
                <w:bCs/>
              </w:rPr>
              <w:t>haron Arndt, Director, Community Health Development and Preparedness Division</w:t>
            </w:r>
            <w:r w:rsidR="0039366B">
              <w:rPr>
                <w:bCs/>
              </w:rPr>
              <w:t>,</w:t>
            </w:r>
            <w:r w:rsidR="00D63889">
              <w:rPr>
                <w:bCs/>
              </w:rPr>
              <w:t xml:space="preserve"> who shared </w:t>
            </w:r>
            <w:r w:rsidR="00867B8E">
              <w:rPr>
                <w:bCs/>
              </w:rPr>
              <w:t xml:space="preserve">her Department’s </w:t>
            </w:r>
            <w:r w:rsidR="00D63889">
              <w:rPr>
                <w:bCs/>
              </w:rPr>
              <w:t xml:space="preserve">experience with launching </w:t>
            </w:r>
            <w:proofErr w:type="spellStart"/>
            <w:r w:rsidR="00D63889">
              <w:rPr>
                <w:bCs/>
              </w:rPr>
              <w:t>HiAP</w:t>
            </w:r>
            <w:proofErr w:type="spellEnd"/>
            <w:r w:rsidR="00D63889">
              <w:rPr>
                <w:bCs/>
              </w:rPr>
              <w:t xml:space="preserve"> in </w:t>
            </w:r>
            <w:r w:rsidR="00867B8E">
              <w:rPr>
                <w:bCs/>
              </w:rPr>
              <w:t xml:space="preserve">Fairfax </w:t>
            </w:r>
            <w:r w:rsidR="00D63889">
              <w:rPr>
                <w:bCs/>
              </w:rPr>
              <w:t xml:space="preserve">County. The workgroup has selected the </w:t>
            </w:r>
            <w:proofErr w:type="spellStart"/>
            <w:r w:rsidR="00D63889">
              <w:rPr>
                <w:bCs/>
              </w:rPr>
              <w:t>Veirs</w:t>
            </w:r>
            <w:proofErr w:type="spellEnd"/>
            <w:r w:rsidR="00D63889">
              <w:rPr>
                <w:bCs/>
              </w:rPr>
              <w:t xml:space="preserve"> Mill Corridor Master Plan as a pilot project.</w:t>
            </w:r>
          </w:p>
          <w:p w14:paraId="5CA78E83" w14:textId="77777777" w:rsidR="002D491B" w:rsidRDefault="002D491B" w:rsidP="00EF0627">
            <w:pPr>
              <w:keepNext/>
              <w:keepLines/>
              <w:contextualSpacing/>
              <w:rPr>
                <w:bCs/>
              </w:rPr>
            </w:pPr>
          </w:p>
          <w:p w14:paraId="66B64335" w14:textId="309DEBB8" w:rsidR="002D491B" w:rsidRDefault="00D63889" w:rsidP="00EF0627">
            <w:pPr>
              <w:keepNext/>
              <w:keepLines/>
              <w:contextualSpacing/>
              <w:rPr>
                <w:bCs/>
              </w:rPr>
            </w:pPr>
            <w:r>
              <w:rPr>
                <w:bCs/>
              </w:rPr>
              <w:t xml:space="preserve">Mr. Rhein </w:t>
            </w:r>
            <w:r w:rsidR="00B7790B">
              <w:rPr>
                <w:bCs/>
              </w:rPr>
              <w:t xml:space="preserve">provided an overview of </w:t>
            </w:r>
            <w:r w:rsidR="00867B8E">
              <w:rPr>
                <w:bCs/>
              </w:rPr>
              <w:t xml:space="preserve">the </w:t>
            </w:r>
            <w:r w:rsidR="00B7790B">
              <w:rPr>
                <w:bCs/>
              </w:rPr>
              <w:t xml:space="preserve">next steps </w:t>
            </w:r>
            <w:r w:rsidR="0024489B">
              <w:rPr>
                <w:bCs/>
              </w:rPr>
              <w:t xml:space="preserve">to complete </w:t>
            </w:r>
            <w:r w:rsidR="00867B8E">
              <w:rPr>
                <w:bCs/>
              </w:rPr>
              <w:t xml:space="preserve">the </w:t>
            </w:r>
            <w:r w:rsidR="0024489B">
              <w:rPr>
                <w:bCs/>
              </w:rPr>
              <w:t>Healthy Montgomery process, policy and systems evaluation. The HMSC Measurement and Evaluation (M</w:t>
            </w:r>
            <w:r w:rsidR="007310D1">
              <w:rPr>
                <w:bCs/>
              </w:rPr>
              <w:t>&amp;</w:t>
            </w:r>
            <w:r w:rsidR="0024489B">
              <w:rPr>
                <w:bCs/>
              </w:rPr>
              <w:t>E) Sub</w:t>
            </w:r>
            <w:r w:rsidR="00867B8E">
              <w:rPr>
                <w:bCs/>
              </w:rPr>
              <w:t>-</w:t>
            </w:r>
            <w:r w:rsidR="0024489B">
              <w:rPr>
                <w:bCs/>
              </w:rPr>
              <w:t>committee will help design the scope of work that will be implemented by a contractor. Additionally, the M</w:t>
            </w:r>
            <w:r w:rsidR="00867B8E">
              <w:rPr>
                <w:bCs/>
              </w:rPr>
              <w:t>&amp;</w:t>
            </w:r>
            <w:r w:rsidR="0024489B">
              <w:rPr>
                <w:bCs/>
              </w:rPr>
              <w:t>E Sub</w:t>
            </w:r>
            <w:r w:rsidR="00867B8E">
              <w:rPr>
                <w:bCs/>
              </w:rPr>
              <w:t>-</w:t>
            </w:r>
            <w:r w:rsidR="0024489B">
              <w:rPr>
                <w:bCs/>
              </w:rPr>
              <w:t xml:space="preserve">committee will </w:t>
            </w:r>
            <w:r w:rsidR="00932490">
              <w:rPr>
                <w:bCs/>
              </w:rPr>
              <w:t>collaborate with</w:t>
            </w:r>
            <w:r w:rsidR="0024489B">
              <w:rPr>
                <w:bCs/>
              </w:rPr>
              <w:t xml:space="preserve"> stakeholders to </w:t>
            </w:r>
            <w:r w:rsidR="00CB6D02">
              <w:rPr>
                <w:bCs/>
              </w:rPr>
              <w:t>create driver diagrams, identify measurable outputs and intermediate outcomes</w:t>
            </w:r>
            <w:r w:rsidR="00CB66BF">
              <w:rPr>
                <w:bCs/>
              </w:rPr>
              <w:t xml:space="preserve"> to assess progress on CHIP </w:t>
            </w:r>
            <w:r w:rsidR="00867B8E">
              <w:rPr>
                <w:bCs/>
              </w:rPr>
              <w:t>C</w:t>
            </w:r>
            <w:r w:rsidR="00CB66BF">
              <w:rPr>
                <w:bCs/>
              </w:rPr>
              <w:t xml:space="preserve">hronic </w:t>
            </w:r>
            <w:r w:rsidR="00867B8E">
              <w:rPr>
                <w:bCs/>
              </w:rPr>
              <w:t>D</w:t>
            </w:r>
            <w:r w:rsidR="00CB66BF">
              <w:rPr>
                <w:bCs/>
              </w:rPr>
              <w:t xml:space="preserve">isease indicators. </w:t>
            </w:r>
            <w:r w:rsidR="00746227">
              <w:rPr>
                <w:bCs/>
              </w:rPr>
              <w:t xml:space="preserve">Intermediate outcomes could include policy and systems changes. </w:t>
            </w:r>
            <w:r w:rsidR="00CB66BF">
              <w:rPr>
                <w:bCs/>
              </w:rPr>
              <w:t xml:space="preserve">The </w:t>
            </w:r>
            <w:r w:rsidR="00867B8E">
              <w:rPr>
                <w:bCs/>
              </w:rPr>
              <w:t>S</w:t>
            </w:r>
            <w:r w:rsidR="00CB66BF">
              <w:rPr>
                <w:bCs/>
              </w:rPr>
              <w:t>ub</w:t>
            </w:r>
            <w:r w:rsidR="00867B8E">
              <w:rPr>
                <w:bCs/>
              </w:rPr>
              <w:t>-</w:t>
            </w:r>
            <w:r w:rsidR="00CB66BF">
              <w:rPr>
                <w:bCs/>
              </w:rPr>
              <w:t xml:space="preserve">committee will help refine </w:t>
            </w:r>
            <w:r w:rsidR="0039366B">
              <w:rPr>
                <w:bCs/>
              </w:rPr>
              <w:t xml:space="preserve">each strategy in </w:t>
            </w:r>
            <w:r w:rsidR="00CB66BF">
              <w:rPr>
                <w:bCs/>
              </w:rPr>
              <w:t xml:space="preserve">the CHIP to make it more measurable. </w:t>
            </w:r>
          </w:p>
          <w:p w14:paraId="421661E2" w14:textId="28149F06" w:rsidR="00746227" w:rsidRDefault="00746227" w:rsidP="00EF0627">
            <w:pPr>
              <w:keepNext/>
              <w:keepLines/>
              <w:contextualSpacing/>
              <w:rPr>
                <w:bCs/>
              </w:rPr>
            </w:pPr>
          </w:p>
          <w:p w14:paraId="3A256A71" w14:textId="79601E74" w:rsidR="00746227" w:rsidRDefault="00746227" w:rsidP="00EF0627">
            <w:pPr>
              <w:keepNext/>
              <w:keepLines/>
              <w:contextualSpacing/>
              <w:rPr>
                <w:bCs/>
              </w:rPr>
            </w:pPr>
            <w:r>
              <w:rPr>
                <w:bCs/>
              </w:rPr>
              <w:t xml:space="preserve">Councilmember Leventhal briefed the group </w:t>
            </w:r>
            <w:r w:rsidR="000A015C">
              <w:rPr>
                <w:bCs/>
              </w:rPr>
              <w:t>regarding</w:t>
            </w:r>
            <w:r>
              <w:rPr>
                <w:bCs/>
              </w:rPr>
              <w:t xml:space="preserve"> the status of the </w:t>
            </w:r>
            <w:r w:rsidR="000A015C" w:rsidRPr="000A015C">
              <w:rPr>
                <w:bCs/>
              </w:rPr>
              <w:t>s</w:t>
            </w:r>
            <w:r w:rsidRPr="000A015C">
              <w:rPr>
                <w:bCs/>
              </w:rPr>
              <w:t xml:space="preserve">exual </w:t>
            </w:r>
            <w:r w:rsidR="000A015C" w:rsidRPr="000A015C">
              <w:rPr>
                <w:bCs/>
              </w:rPr>
              <w:t>a</w:t>
            </w:r>
            <w:r w:rsidRPr="000A015C">
              <w:rPr>
                <w:bCs/>
              </w:rPr>
              <w:t>ssault</w:t>
            </w:r>
            <w:r w:rsidR="000A015C" w:rsidRPr="000A015C">
              <w:rPr>
                <w:bCs/>
              </w:rPr>
              <w:t xml:space="preserve"> c</w:t>
            </w:r>
            <w:r w:rsidRPr="000A015C">
              <w:rPr>
                <w:bCs/>
              </w:rPr>
              <w:t xml:space="preserve">are </w:t>
            </w:r>
            <w:r w:rsidR="000A015C" w:rsidRPr="000A015C">
              <w:rPr>
                <w:bCs/>
              </w:rPr>
              <w:t xml:space="preserve">coordination </w:t>
            </w:r>
            <w:r w:rsidR="00867B8E">
              <w:rPr>
                <w:bCs/>
              </w:rPr>
              <w:t xml:space="preserve">involving </w:t>
            </w:r>
            <w:r w:rsidR="000A015C">
              <w:rPr>
                <w:bCs/>
              </w:rPr>
              <w:t xml:space="preserve">each of </w:t>
            </w:r>
            <w:r w:rsidR="00867B8E">
              <w:rPr>
                <w:bCs/>
              </w:rPr>
              <w:t>the local hospital systems</w:t>
            </w:r>
            <w:r>
              <w:rPr>
                <w:bCs/>
              </w:rPr>
              <w:t xml:space="preserve">. </w:t>
            </w:r>
          </w:p>
          <w:p w14:paraId="0F924C50" w14:textId="473566D1" w:rsidR="00CB66BF" w:rsidRPr="00131C60" w:rsidRDefault="00CB66BF" w:rsidP="00EF0627">
            <w:pPr>
              <w:keepNext/>
              <w:keepLines/>
              <w:contextualSpacing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808080" w:themeColor="text1" w:themeTint="7F"/>
              <w:bottom w:val="single" w:sz="4" w:space="0" w:color="808080" w:themeColor="text1" w:themeTint="7F"/>
            </w:tcBorders>
          </w:tcPr>
          <w:p w14:paraId="477664BE" w14:textId="77777777" w:rsidR="00B15DA9" w:rsidRPr="004B5368" w:rsidRDefault="00B15DA9" w:rsidP="008F494B">
            <w:pPr>
              <w:rPr>
                <w:b/>
                <w:bCs/>
              </w:rPr>
            </w:pPr>
          </w:p>
          <w:p w14:paraId="7A86433E" w14:textId="018DC847" w:rsidR="004B5368" w:rsidRPr="004B5368" w:rsidRDefault="00A37DB8" w:rsidP="00236A6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Circulate link to sustainability </w:t>
            </w:r>
            <w:r w:rsidR="00333C58">
              <w:rPr>
                <w:b/>
                <w:bCs/>
              </w:rPr>
              <w:t>plan</w:t>
            </w:r>
            <w:r>
              <w:rPr>
                <w:b/>
                <w:bCs/>
              </w:rPr>
              <w:t xml:space="preserve"> when </w:t>
            </w:r>
            <w:r w:rsidR="00333C58">
              <w:rPr>
                <w:b/>
                <w:bCs/>
              </w:rPr>
              <w:t>published</w:t>
            </w:r>
            <w:r>
              <w:rPr>
                <w:b/>
                <w:bCs/>
              </w:rPr>
              <w:t xml:space="preserve">. </w:t>
            </w:r>
          </w:p>
        </w:tc>
        <w:tc>
          <w:tcPr>
            <w:tcW w:w="1800" w:type="dxa"/>
            <w:tcBorders>
              <w:top w:val="single" w:sz="4" w:space="0" w:color="808080" w:themeColor="text1" w:themeTint="7F"/>
              <w:bottom w:val="single" w:sz="4" w:space="0" w:color="808080" w:themeColor="text1" w:themeTint="7F"/>
            </w:tcBorders>
          </w:tcPr>
          <w:p w14:paraId="3A95C325" w14:textId="77777777" w:rsidR="00B15DA9" w:rsidRPr="004B5368" w:rsidRDefault="00B15DA9" w:rsidP="008F494B">
            <w:pPr>
              <w:rPr>
                <w:b/>
                <w:bCs/>
              </w:rPr>
            </w:pPr>
          </w:p>
          <w:p w14:paraId="398DC51D" w14:textId="2D77F0DD" w:rsidR="004B5368" w:rsidRPr="004B5368" w:rsidRDefault="00A37DB8" w:rsidP="008F494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HM Staff. </w:t>
            </w:r>
          </w:p>
          <w:p w14:paraId="0BCEABD8" w14:textId="1E36D320" w:rsidR="004B5368" w:rsidRPr="004B5368" w:rsidRDefault="004B5368" w:rsidP="008F494B">
            <w:pPr>
              <w:rPr>
                <w:bCs/>
              </w:rPr>
            </w:pPr>
          </w:p>
        </w:tc>
      </w:tr>
      <w:tr w:rsidR="00A014F8" w:rsidRPr="008D3EE9" w14:paraId="35B420A3" w14:textId="77777777" w:rsidTr="002A305D">
        <w:trPr>
          <w:trHeight w:val="1430"/>
        </w:trPr>
        <w:tc>
          <w:tcPr>
            <w:tcW w:w="0" w:type="auto"/>
            <w:tcBorders>
              <w:top w:val="single" w:sz="4" w:space="0" w:color="808080" w:themeColor="text1" w:themeTint="7F"/>
              <w:bottom w:val="single" w:sz="4" w:space="0" w:color="808080" w:themeColor="text1" w:themeTint="7F"/>
            </w:tcBorders>
          </w:tcPr>
          <w:p w14:paraId="61C08ADE" w14:textId="77777777" w:rsidR="0039366B" w:rsidRDefault="0039366B" w:rsidP="008F494B">
            <w:pPr>
              <w:contextualSpacing/>
              <w:rPr>
                <w:b/>
                <w:bCs/>
              </w:rPr>
            </w:pPr>
          </w:p>
          <w:p w14:paraId="1632C019" w14:textId="7B8CC077" w:rsidR="00DA30DA" w:rsidRDefault="36096478" w:rsidP="008F494B">
            <w:pPr>
              <w:contextualSpacing/>
              <w:rPr>
                <w:b/>
                <w:bCs/>
              </w:rPr>
            </w:pPr>
            <w:r w:rsidRPr="36096478">
              <w:rPr>
                <w:b/>
                <w:bCs/>
              </w:rPr>
              <w:t>Wrap-Up/Adjourn</w:t>
            </w:r>
          </w:p>
          <w:p w14:paraId="794FCEBD" w14:textId="017C63D3" w:rsidR="00C32969" w:rsidRPr="00C32969" w:rsidRDefault="00C32969" w:rsidP="008F494B">
            <w:pPr>
              <w:contextualSpacing/>
              <w:rPr>
                <w:i/>
                <w:iCs/>
              </w:rPr>
            </w:pPr>
            <w:r w:rsidRPr="36096478">
              <w:rPr>
                <w:i/>
                <w:iCs/>
              </w:rPr>
              <w:t xml:space="preserve">Co-Chairs Councilmember G. Leventhal and J. DeCarlo  </w:t>
            </w:r>
          </w:p>
        </w:tc>
        <w:tc>
          <w:tcPr>
            <w:tcW w:w="7685" w:type="dxa"/>
            <w:tcBorders>
              <w:top w:val="single" w:sz="4" w:space="0" w:color="808080" w:themeColor="text1" w:themeTint="7F"/>
              <w:bottom w:val="single" w:sz="4" w:space="0" w:color="808080" w:themeColor="text1" w:themeTint="7F"/>
            </w:tcBorders>
          </w:tcPr>
          <w:p w14:paraId="6485ED3F" w14:textId="77777777" w:rsidR="0039366B" w:rsidRDefault="0039366B" w:rsidP="001E2CA4">
            <w:pPr>
              <w:keepNext/>
              <w:keepLines/>
              <w:contextualSpacing/>
              <w:rPr>
                <w:bCs/>
              </w:rPr>
            </w:pPr>
          </w:p>
          <w:p w14:paraId="05BB1D41" w14:textId="0FD4747F" w:rsidR="00D827E5" w:rsidRPr="004B11A0" w:rsidRDefault="002D491B" w:rsidP="001E2CA4">
            <w:pPr>
              <w:keepNext/>
              <w:keepLines/>
              <w:contextualSpacing/>
              <w:rPr>
                <w:bCs/>
              </w:rPr>
            </w:pPr>
            <w:r>
              <w:rPr>
                <w:bCs/>
              </w:rPr>
              <w:t xml:space="preserve">Meeting was adjourned at 7:55. </w:t>
            </w:r>
          </w:p>
        </w:tc>
        <w:tc>
          <w:tcPr>
            <w:tcW w:w="1800" w:type="dxa"/>
            <w:tcBorders>
              <w:top w:val="single" w:sz="4" w:space="0" w:color="808080" w:themeColor="text1" w:themeTint="7F"/>
              <w:bottom w:val="single" w:sz="4" w:space="0" w:color="808080" w:themeColor="text1" w:themeTint="7F"/>
            </w:tcBorders>
          </w:tcPr>
          <w:p w14:paraId="765DEC00" w14:textId="77777777" w:rsidR="00DA30DA" w:rsidRPr="008D3EE9" w:rsidRDefault="00DA30DA" w:rsidP="008F494B">
            <w:pPr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808080" w:themeColor="text1" w:themeTint="7F"/>
              <w:bottom w:val="single" w:sz="4" w:space="0" w:color="808080" w:themeColor="text1" w:themeTint="7F"/>
            </w:tcBorders>
          </w:tcPr>
          <w:p w14:paraId="0C33AE58" w14:textId="77777777" w:rsidR="00DA30DA" w:rsidRPr="008D3EE9" w:rsidRDefault="00DA30DA" w:rsidP="008F494B">
            <w:pPr>
              <w:rPr>
                <w:b/>
                <w:bCs/>
              </w:rPr>
            </w:pPr>
          </w:p>
        </w:tc>
      </w:tr>
    </w:tbl>
    <w:p w14:paraId="1B6570E5" w14:textId="77777777" w:rsidR="007F277A" w:rsidRPr="008D3EE9" w:rsidRDefault="007F277A" w:rsidP="001268D6">
      <w:pPr>
        <w:rPr>
          <w:b/>
          <w:bCs/>
        </w:rPr>
      </w:pPr>
    </w:p>
    <w:p w14:paraId="60F420AF" w14:textId="77777777" w:rsidR="002C5654" w:rsidRDefault="002C5654" w:rsidP="001268D6"/>
    <w:p w14:paraId="29D1E9FB" w14:textId="59FA3449" w:rsidR="00D160B6" w:rsidRDefault="00D160B6" w:rsidP="001268D6">
      <w:bookmarkStart w:id="0" w:name="_GoBack"/>
      <w:bookmarkEnd w:id="0"/>
    </w:p>
    <w:sectPr w:rsidR="00D160B6" w:rsidSect="002A305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63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FA3E0" w14:textId="77777777" w:rsidR="007310D1" w:rsidRDefault="007310D1">
      <w:r>
        <w:separator/>
      </w:r>
    </w:p>
  </w:endnote>
  <w:endnote w:type="continuationSeparator" w:id="0">
    <w:p w14:paraId="47283653" w14:textId="77777777" w:rsidR="007310D1" w:rsidRDefault="007310D1">
      <w:r>
        <w:continuationSeparator/>
      </w:r>
    </w:p>
  </w:endnote>
  <w:endnote w:type="continuationNotice" w:id="1">
    <w:p w14:paraId="0F9FAACE" w14:textId="77777777" w:rsidR="007310D1" w:rsidRDefault="007310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ACC02" w14:textId="77777777" w:rsidR="007310D1" w:rsidRDefault="007310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234E2" w14:textId="227BA408" w:rsidR="007310D1" w:rsidRPr="00B72680" w:rsidRDefault="007310D1" w:rsidP="008F494B">
    <w:pPr>
      <w:pStyle w:val="Footer"/>
      <w:tabs>
        <w:tab w:val="clear" w:pos="4320"/>
        <w:tab w:val="clear" w:pos="8640"/>
        <w:tab w:val="center" w:pos="6480"/>
        <w:tab w:val="right" w:pos="12960"/>
      </w:tabs>
      <w:rPr>
        <w:i/>
        <w:iCs/>
        <w:sz w:val="20"/>
        <w:szCs w:val="20"/>
      </w:rPr>
    </w:pPr>
    <w:r>
      <w:tab/>
    </w:r>
    <w:r w:rsidRPr="00B72680">
      <w:rPr>
        <w:sz w:val="20"/>
        <w:szCs w:val="20"/>
      </w:rPr>
      <w:t xml:space="preserve">Page </w:t>
    </w:r>
    <w:r w:rsidRPr="36096478">
      <w:rPr>
        <w:rStyle w:val="PageNumber"/>
        <w:noProof/>
        <w:sz w:val="20"/>
        <w:szCs w:val="20"/>
      </w:rPr>
      <w:fldChar w:fldCharType="begin"/>
    </w:r>
    <w:r w:rsidRPr="00B72680">
      <w:rPr>
        <w:rStyle w:val="PageNumber"/>
        <w:sz w:val="20"/>
        <w:szCs w:val="20"/>
      </w:rPr>
      <w:instrText xml:space="preserve"> PAGE </w:instrText>
    </w:r>
    <w:r w:rsidRPr="36096478">
      <w:rPr>
        <w:rStyle w:val="PageNumber"/>
        <w:sz w:val="20"/>
        <w:szCs w:val="20"/>
      </w:rPr>
      <w:fldChar w:fldCharType="separate"/>
    </w:r>
    <w:r w:rsidR="008516E8">
      <w:rPr>
        <w:rStyle w:val="PageNumber"/>
        <w:noProof/>
        <w:sz w:val="20"/>
        <w:szCs w:val="20"/>
      </w:rPr>
      <w:t>7</w:t>
    </w:r>
    <w:r w:rsidRPr="36096478">
      <w:rPr>
        <w:rStyle w:val="PageNumber"/>
        <w:noProof/>
        <w:sz w:val="20"/>
        <w:szCs w:val="20"/>
      </w:rPr>
      <w:fldChar w:fldCharType="end"/>
    </w:r>
    <w:r w:rsidRPr="00B72680">
      <w:rPr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5ABFD" w14:textId="77777777" w:rsidR="007310D1" w:rsidRDefault="007310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D791F" w14:textId="77777777" w:rsidR="007310D1" w:rsidRDefault="007310D1">
      <w:r>
        <w:separator/>
      </w:r>
    </w:p>
  </w:footnote>
  <w:footnote w:type="continuationSeparator" w:id="0">
    <w:p w14:paraId="6DD1193F" w14:textId="77777777" w:rsidR="007310D1" w:rsidRDefault="007310D1">
      <w:r>
        <w:continuationSeparator/>
      </w:r>
    </w:p>
  </w:footnote>
  <w:footnote w:type="continuationNotice" w:id="1">
    <w:p w14:paraId="06B8D0DE" w14:textId="77777777" w:rsidR="007310D1" w:rsidRDefault="007310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B8C7F" w14:textId="77777777" w:rsidR="007310D1" w:rsidRDefault="007310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C54FC" w14:textId="6ACFB1AE" w:rsidR="007310D1" w:rsidRDefault="007310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75EFA" w14:textId="77777777" w:rsidR="007310D1" w:rsidRDefault="007310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B0243"/>
    <w:multiLevelType w:val="hybridMultilevel"/>
    <w:tmpl w:val="F202E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04AE0"/>
    <w:multiLevelType w:val="hybridMultilevel"/>
    <w:tmpl w:val="4C1C5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D71A2"/>
    <w:multiLevelType w:val="hybridMultilevel"/>
    <w:tmpl w:val="5770EFE6"/>
    <w:lvl w:ilvl="0" w:tplc="E2DEE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A2B9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01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7A21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BE2B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CE4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840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F2B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22C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7E6A71"/>
    <w:multiLevelType w:val="hybridMultilevel"/>
    <w:tmpl w:val="8E166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D25F1"/>
    <w:multiLevelType w:val="hybridMultilevel"/>
    <w:tmpl w:val="40A467C8"/>
    <w:lvl w:ilvl="0" w:tplc="4A88A7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F16EC"/>
    <w:multiLevelType w:val="hybridMultilevel"/>
    <w:tmpl w:val="42201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042D9"/>
    <w:multiLevelType w:val="hybridMultilevel"/>
    <w:tmpl w:val="5CF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96B30"/>
    <w:multiLevelType w:val="hybridMultilevel"/>
    <w:tmpl w:val="F0AEF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63E36"/>
    <w:multiLevelType w:val="hybridMultilevel"/>
    <w:tmpl w:val="A8044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36FEB"/>
    <w:multiLevelType w:val="hybridMultilevel"/>
    <w:tmpl w:val="ABB4B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45030"/>
    <w:multiLevelType w:val="hybridMultilevel"/>
    <w:tmpl w:val="2A5EC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0706B"/>
    <w:multiLevelType w:val="hybridMultilevel"/>
    <w:tmpl w:val="CF044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13761"/>
    <w:multiLevelType w:val="hybridMultilevel"/>
    <w:tmpl w:val="9A2C2C76"/>
    <w:lvl w:ilvl="0" w:tplc="E46EF5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52F11"/>
    <w:multiLevelType w:val="hybridMultilevel"/>
    <w:tmpl w:val="349236D6"/>
    <w:lvl w:ilvl="0" w:tplc="DFC0751C">
      <w:start w:val="13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47711"/>
    <w:multiLevelType w:val="hybridMultilevel"/>
    <w:tmpl w:val="19AC4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245EC"/>
    <w:multiLevelType w:val="hybridMultilevel"/>
    <w:tmpl w:val="47B2F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106E1"/>
    <w:multiLevelType w:val="hybridMultilevel"/>
    <w:tmpl w:val="258A9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504AC"/>
    <w:multiLevelType w:val="hybridMultilevel"/>
    <w:tmpl w:val="BB3A4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A2B3F"/>
    <w:multiLevelType w:val="hybridMultilevel"/>
    <w:tmpl w:val="9928F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E2687"/>
    <w:multiLevelType w:val="hybridMultilevel"/>
    <w:tmpl w:val="AF68A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13432"/>
    <w:multiLevelType w:val="hybridMultilevel"/>
    <w:tmpl w:val="31C844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9017CD"/>
    <w:multiLevelType w:val="hybridMultilevel"/>
    <w:tmpl w:val="22487506"/>
    <w:lvl w:ilvl="0" w:tplc="9B5E12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E55E4"/>
    <w:multiLevelType w:val="hybridMultilevel"/>
    <w:tmpl w:val="B8285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520397"/>
    <w:multiLevelType w:val="hybridMultilevel"/>
    <w:tmpl w:val="2C809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C4D7E"/>
    <w:multiLevelType w:val="hybridMultilevel"/>
    <w:tmpl w:val="5A10A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215460"/>
    <w:multiLevelType w:val="hybridMultilevel"/>
    <w:tmpl w:val="6E32FCB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72921CE"/>
    <w:multiLevelType w:val="hybridMultilevel"/>
    <w:tmpl w:val="3034B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F83BAB"/>
    <w:multiLevelType w:val="hybridMultilevel"/>
    <w:tmpl w:val="AA143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E1BA0"/>
    <w:multiLevelType w:val="hybridMultilevel"/>
    <w:tmpl w:val="FB82579C"/>
    <w:lvl w:ilvl="0" w:tplc="70BEC7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25"/>
  </w:num>
  <w:num w:numId="5">
    <w:abstractNumId w:val="1"/>
  </w:num>
  <w:num w:numId="6">
    <w:abstractNumId w:val="22"/>
  </w:num>
  <w:num w:numId="7">
    <w:abstractNumId w:val="2"/>
  </w:num>
  <w:num w:numId="8">
    <w:abstractNumId w:val="15"/>
  </w:num>
  <w:num w:numId="9">
    <w:abstractNumId w:val="6"/>
  </w:num>
  <w:num w:numId="10">
    <w:abstractNumId w:val="19"/>
  </w:num>
  <w:num w:numId="11">
    <w:abstractNumId w:val="26"/>
  </w:num>
  <w:num w:numId="12">
    <w:abstractNumId w:val="10"/>
  </w:num>
  <w:num w:numId="13">
    <w:abstractNumId w:val="24"/>
  </w:num>
  <w:num w:numId="14">
    <w:abstractNumId w:val="14"/>
  </w:num>
  <w:num w:numId="15">
    <w:abstractNumId w:val="20"/>
  </w:num>
  <w:num w:numId="16">
    <w:abstractNumId w:val="17"/>
  </w:num>
  <w:num w:numId="17">
    <w:abstractNumId w:val="21"/>
  </w:num>
  <w:num w:numId="18">
    <w:abstractNumId w:val="28"/>
  </w:num>
  <w:num w:numId="19">
    <w:abstractNumId w:val="12"/>
  </w:num>
  <w:num w:numId="20">
    <w:abstractNumId w:val="23"/>
  </w:num>
  <w:num w:numId="21">
    <w:abstractNumId w:val="7"/>
  </w:num>
  <w:num w:numId="22">
    <w:abstractNumId w:val="13"/>
  </w:num>
  <w:num w:numId="23">
    <w:abstractNumId w:val="0"/>
  </w:num>
  <w:num w:numId="24">
    <w:abstractNumId w:val="27"/>
  </w:num>
  <w:num w:numId="25">
    <w:abstractNumId w:val="11"/>
  </w:num>
  <w:num w:numId="26">
    <w:abstractNumId w:val="4"/>
  </w:num>
  <w:num w:numId="27">
    <w:abstractNumId w:val="18"/>
  </w:num>
  <w:num w:numId="28">
    <w:abstractNumId w:val="5"/>
  </w:num>
  <w:num w:numId="29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8D6"/>
    <w:rsid w:val="00000882"/>
    <w:rsid w:val="000030FF"/>
    <w:rsid w:val="00004C45"/>
    <w:rsid w:val="0000503E"/>
    <w:rsid w:val="000068DF"/>
    <w:rsid w:val="00007647"/>
    <w:rsid w:val="00012DFD"/>
    <w:rsid w:val="000130D0"/>
    <w:rsid w:val="00013B50"/>
    <w:rsid w:val="00013C9E"/>
    <w:rsid w:val="00014E56"/>
    <w:rsid w:val="000169EF"/>
    <w:rsid w:val="000171C1"/>
    <w:rsid w:val="00017518"/>
    <w:rsid w:val="0002061B"/>
    <w:rsid w:val="00021CF8"/>
    <w:rsid w:val="00023035"/>
    <w:rsid w:val="00023FB5"/>
    <w:rsid w:val="000257D2"/>
    <w:rsid w:val="00026DE2"/>
    <w:rsid w:val="000301D9"/>
    <w:rsid w:val="00034992"/>
    <w:rsid w:val="00035250"/>
    <w:rsid w:val="00035760"/>
    <w:rsid w:val="00036B63"/>
    <w:rsid w:val="00042BDB"/>
    <w:rsid w:val="00044FCF"/>
    <w:rsid w:val="00045709"/>
    <w:rsid w:val="00045B36"/>
    <w:rsid w:val="00046EEE"/>
    <w:rsid w:val="000471A4"/>
    <w:rsid w:val="000474B3"/>
    <w:rsid w:val="0005036D"/>
    <w:rsid w:val="00051452"/>
    <w:rsid w:val="00051917"/>
    <w:rsid w:val="00055753"/>
    <w:rsid w:val="000572D6"/>
    <w:rsid w:val="00057680"/>
    <w:rsid w:val="000605B9"/>
    <w:rsid w:val="000628F4"/>
    <w:rsid w:val="00062ACD"/>
    <w:rsid w:val="00063BE8"/>
    <w:rsid w:val="000654D1"/>
    <w:rsid w:val="00066A38"/>
    <w:rsid w:val="00066ADB"/>
    <w:rsid w:val="000714EE"/>
    <w:rsid w:val="00073131"/>
    <w:rsid w:val="0007361C"/>
    <w:rsid w:val="00074E9C"/>
    <w:rsid w:val="00076579"/>
    <w:rsid w:val="00080CAF"/>
    <w:rsid w:val="0008201B"/>
    <w:rsid w:val="000829BB"/>
    <w:rsid w:val="00083A3E"/>
    <w:rsid w:val="00084694"/>
    <w:rsid w:val="000855CE"/>
    <w:rsid w:val="000859AB"/>
    <w:rsid w:val="00086118"/>
    <w:rsid w:val="00090A8B"/>
    <w:rsid w:val="00091AAE"/>
    <w:rsid w:val="00091C58"/>
    <w:rsid w:val="0009238D"/>
    <w:rsid w:val="000927AA"/>
    <w:rsid w:val="000932A6"/>
    <w:rsid w:val="00096C75"/>
    <w:rsid w:val="000972CF"/>
    <w:rsid w:val="0009799B"/>
    <w:rsid w:val="000A015C"/>
    <w:rsid w:val="000A1D1D"/>
    <w:rsid w:val="000A3D78"/>
    <w:rsid w:val="000A44AF"/>
    <w:rsid w:val="000A78A8"/>
    <w:rsid w:val="000A7A0F"/>
    <w:rsid w:val="000A7D8E"/>
    <w:rsid w:val="000B06D0"/>
    <w:rsid w:val="000B16AB"/>
    <w:rsid w:val="000B2DEC"/>
    <w:rsid w:val="000B3EFC"/>
    <w:rsid w:val="000B44A3"/>
    <w:rsid w:val="000B6024"/>
    <w:rsid w:val="000B710E"/>
    <w:rsid w:val="000C04D4"/>
    <w:rsid w:val="000C05A8"/>
    <w:rsid w:val="000C0781"/>
    <w:rsid w:val="000C08C4"/>
    <w:rsid w:val="000C393C"/>
    <w:rsid w:val="000C4687"/>
    <w:rsid w:val="000C61B2"/>
    <w:rsid w:val="000C65FF"/>
    <w:rsid w:val="000C69F2"/>
    <w:rsid w:val="000C6E96"/>
    <w:rsid w:val="000C6F98"/>
    <w:rsid w:val="000D11F2"/>
    <w:rsid w:val="000D1431"/>
    <w:rsid w:val="000D243E"/>
    <w:rsid w:val="000D277B"/>
    <w:rsid w:val="000D41D9"/>
    <w:rsid w:val="000D4D73"/>
    <w:rsid w:val="000D5F2A"/>
    <w:rsid w:val="000E1FC8"/>
    <w:rsid w:val="000E2434"/>
    <w:rsid w:val="000E2D3F"/>
    <w:rsid w:val="000E2DD6"/>
    <w:rsid w:val="000E5287"/>
    <w:rsid w:val="000E7EAA"/>
    <w:rsid w:val="000F22AC"/>
    <w:rsid w:val="000F3198"/>
    <w:rsid w:val="000F3745"/>
    <w:rsid w:val="000F38CF"/>
    <w:rsid w:val="000F46F7"/>
    <w:rsid w:val="000F7461"/>
    <w:rsid w:val="000F7491"/>
    <w:rsid w:val="00100E03"/>
    <w:rsid w:val="001022C7"/>
    <w:rsid w:val="00104DED"/>
    <w:rsid w:val="00104FFF"/>
    <w:rsid w:val="0010687F"/>
    <w:rsid w:val="0011139C"/>
    <w:rsid w:val="0011155C"/>
    <w:rsid w:val="001123B8"/>
    <w:rsid w:val="001155B0"/>
    <w:rsid w:val="00120A37"/>
    <w:rsid w:val="00120DAB"/>
    <w:rsid w:val="00122331"/>
    <w:rsid w:val="00124BBB"/>
    <w:rsid w:val="0012642E"/>
    <w:rsid w:val="001268D6"/>
    <w:rsid w:val="001277C0"/>
    <w:rsid w:val="001316E2"/>
    <w:rsid w:val="001317C4"/>
    <w:rsid w:val="00131C60"/>
    <w:rsid w:val="00131D6D"/>
    <w:rsid w:val="00132562"/>
    <w:rsid w:val="0013407D"/>
    <w:rsid w:val="001350A7"/>
    <w:rsid w:val="00135F60"/>
    <w:rsid w:val="00136DEF"/>
    <w:rsid w:val="0014026D"/>
    <w:rsid w:val="00141F57"/>
    <w:rsid w:val="00143EE8"/>
    <w:rsid w:val="001447D2"/>
    <w:rsid w:val="0014642D"/>
    <w:rsid w:val="001465A0"/>
    <w:rsid w:val="0014731D"/>
    <w:rsid w:val="0015131C"/>
    <w:rsid w:val="001516D3"/>
    <w:rsid w:val="001529A4"/>
    <w:rsid w:val="00152A7A"/>
    <w:rsid w:val="00153881"/>
    <w:rsid w:val="00153E10"/>
    <w:rsid w:val="00155655"/>
    <w:rsid w:val="0015565E"/>
    <w:rsid w:val="00160E64"/>
    <w:rsid w:val="00162A9A"/>
    <w:rsid w:val="00164074"/>
    <w:rsid w:val="0016454E"/>
    <w:rsid w:val="001704E9"/>
    <w:rsid w:val="00170E6F"/>
    <w:rsid w:val="001713EA"/>
    <w:rsid w:val="00173830"/>
    <w:rsid w:val="001743CD"/>
    <w:rsid w:val="00174F3B"/>
    <w:rsid w:val="00177B6E"/>
    <w:rsid w:val="00177F0E"/>
    <w:rsid w:val="00180583"/>
    <w:rsid w:val="00185149"/>
    <w:rsid w:val="001853F6"/>
    <w:rsid w:val="001870A9"/>
    <w:rsid w:val="00187BF8"/>
    <w:rsid w:val="00191C12"/>
    <w:rsid w:val="00193A26"/>
    <w:rsid w:val="001945E8"/>
    <w:rsid w:val="001957C5"/>
    <w:rsid w:val="001976FE"/>
    <w:rsid w:val="001A33EC"/>
    <w:rsid w:val="001A34DB"/>
    <w:rsid w:val="001A49BC"/>
    <w:rsid w:val="001A4C3D"/>
    <w:rsid w:val="001A5519"/>
    <w:rsid w:val="001A6321"/>
    <w:rsid w:val="001B0C1F"/>
    <w:rsid w:val="001B14FF"/>
    <w:rsid w:val="001B181D"/>
    <w:rsid w:val="001B2512"/>
    <w:rsid w:val="001B2EE1"/>
    <w:rsid w:val="001B3FB6"/>
    <w:rsid w:val="001B49B0"/>
    <w:rsid w:val="001B6C11"/>
    <w:rsid w:val="001C15B3"/>
    <w:rsid w:val="001C17AB"/>
    <w:rsid w:val="001C1E29"/>
    <w:rsid w:val="001C3BB5"/>
    <w:rsid w:val="001C4391"/>
    <w:rsid w:val="001D06F2"/>
    <w:rsid w:val="001D237F"/>
    <w:rsid w:val="001D2471"/>
    <w:rsid w:val="001D32BF"/>
    <w:rsid w:val="001D597B"/>
    <w:rsid w:val="001D6DCB"/>
    <w:rsid w:val="001E01EB"/>
    <w:rsid w:val="001E1A88"/>
    <w:rsid w:val="001E1ADB"/>
    <w:rsid w:val="001E2291"/>
    <w:rsid w:val="001E2294"/>
    <w:rsid w:val="001E2CA4"/>
    <w:rsid w:val="001E67EA"/>
    <w:rsid w:val="001F2069"/>
    <w:rsid w:val="001F2594"/>
    <w:rsid w:val="001F6C6F"/>
    <w:rsid w:val="00201FCE"/>
    <w:rsid w:val="00202A03"/>
    <w:rsid w:val="00203B78"/>
    <w:rsid w:val="00206262"/>
    <w:rsid w:val="00211747"/>
    <w:rsid w:val="002118D5"/>
    <w:rsid w:val="002119F6"/>
    <w:rsid w:val="0021439A"/>
    <w:rsid w:val="00214414"/>
    <w:rsid w:val="00216F91"/>
    <w:rsid w:val="002170EA"/>
    <w:rsid w:val="002172FA"/>
    <w:rsid w:val="002200A0"/>
    <w:rsid w:val="0022064A"/>
    <w:rsid w:val="00220BBB"/>
    <w:rsid w:val="00221A8C"/>
    <w:rsid w:val="00222078"/>
    <w:rsid w:val="00223144"/>
    <w:rsid w:val="002235CF"/>
    <w:rsid w:val="002237DE"/>
    <w:rsid w:val="002246C1"/>
    <w:rsid w:val="002248ED"/>
    <w:rsid w:val="00225E61"/>
    <w:rsid w:val="002261B7"/>
    <w:rsid w:val="002265B1"/>
    <w:rsid w:val="002279F2"/>
    <w:rsid w:val="00230BCC"/>
    <w:rsid w:val="00230C10"/>
    <w:rsid w:val="002333BE"/>
    <w:rsid w:val="00236A61"/>
    <w:rsid w:val="0023716E"/>
    <w:rsid w:val="002376D1"/>
    <w:rsid w:val="00240B60"/>
    <w:rsid w:val="00242681"/>
    <w:rsid w:val="0024489B"/>
    <w:rsid w:val="0024691E"/>
    <w:rsid w:val="00247E4E"/>
    <w:rsid w:val="00250295"/>
    <w:rsid w:val="00250EDB"/>
    <w:rsid w:val="0025157D"/>
    <w:rsid w:val="00251C34"/>
    <w:rsid w:val="00253D44"/>
    <w:rsid w:val="00254049"/>
    <w:rsid w:val="0025719B"/>
    <w:rsid w:val="00260CF6"/>
    <w:rsid w:val="00261FC1"/>
    <w:rsid w:val="002630C1"/>
    <w:rsid w:val="00265F4B"/>
    <w:rsid w:val="00267510"/>
    <w:rsid w:val="00271609"/>
    <w:rsid w:val="00271788"/>
    <w:rsid w:val="00271E26"/>
    <w:rsid w:val="002732A3"/>
    <w:rsid w:val="00273A1D"/>
    <w:rsid w:val="00275038"/>
    <w:rsid w:val="00275191"/>
    <w:rsid w:val="002761B0"/>
    <w:rsid w:val="00277B3C"/>
    <w:rsid w:val="00277E83"/>
    <w:rsid w:val="0028110C"/>
    <w:rsid w:val="002817C4"/>
    <w:rsid w:val="00281F6C"/>
    <w:rsid w:val="00282940"/>
    <w:rsid w:val="00282F43"/>
    <w:rsid w:val="002830E3"/>
    <w:rsid w:val="00284717"/>
    <w:rsid w:val="00284F17"/>
    <w:rsid w:val="002920AB"/>
    <w:rsid w:val="002922DD"/>
    <w:rsid w:val="00292D75"/>
    <w:rsid w:val="0029305A"/>
    <w:rsid w:val="00293134"/>
    <w:rsid w:val="00293E69"/>
    <w:rsid w:val="00295237"/>
    <w:rsid w:val="002955B4"/>
    <w:rsid w:val="00295E21"/>
    <w:rsid w:val="002A13D7"/>
    <w:rsid w:val="002A1581"/>
    <w:rsid w:val="002A1664"/>
    <w:rsid w:val="002A2F5B"/>
    <w:rsid w:val="002A305D"/>
    <w:rsid w:val="002A3945"/>
    <w:rsid w:val="002A4610"/>
    <w:rsid w:val="002A60E2"/>
    <w:rsid w:val="002A6FA3"/>
    <w:rsid w:val="002A7F89"/>
    <w:rsid w:val="002B1BD6"/>
    <w:rsid w:val="002B2764"/>
    <w:rsid w:val="002B2E98"/>
    <w:rsid w:val="002B6201"/>
    <w:rsid w:val="002C136D"/>
    <w:rsid w:val="002C16F3"/>
    <w:rsid w:val="002C19BC"/>
    <w:rsid w:val="002C4597"/>
    <w:rsid w:val="002C47B2"/>
    <w:rsid w:val="002C4BF1"/>
    <w:rsid w:val="002C5654"/>
    <w:rsid w:val="002C5CB8"/>
    <w:rsid w:val="002C6302"/>
    <w:rsid w:val="002C695A"/>
    <w:rsid w:val="002D048B"/>
    <w:rsid w:val="002D0F22"/>
    <w:rsid w:val="002D2756"/>
    <w:rsid w:val="002D3207"/>
    <w:rsid w:val="002D37F3"/>
    <w:rsid w:val="002D4008"/>
    <w:rsid w:val="002D491B"/>
    <w:rsid w:val="002D5799"/>
    <w:rsid w:val="002D59E1"/>
    <w:rsid w:val="002D60D0"/>
    <w:rsid w:val="002D6633"/>
    <w:rsid w:val="002D772C"/>
    <w:rsid w:val="002E033F"/>
    <w:rsid w:val="002E25E5"/>
    <w:rsid w:val="002E2838"/>
    <w:rsid w:val="002E3EDE"/>
    <w:rsid w:val="002E444A"/>
    <w:rsid w:val="002E653E"/>
    <w:rsid w:val="002E7C8B"/>
    <w:rsid w:val="002F1F15"/>
    <w:rsid w:val="002F2409"/>
    <w:rsid w:val="002F3B79"/>
    <w:rsid w:val="002F5406"/>
    <w:rsid w:val="003019E0"/>
    <w:rsid w:val="00303400"/>
    <w:rsid w:val="0030398E"/>
    <w:rsid w:val="00304621"/>
    <w:rsid w:val="0030608A"/>
    <w:rsid w:val="00307B4E"/>
    <w:rsid w:val="003105D3"/>
    <w:rsid w:val="0031191A"/>
    <w:rsid w:val="00313D64"/>
    <w:rsid w:val="00313FC6"/>
    <w:rsid w:val="00314A49"/>
    <w:rsid w:val="00316457"/>
    <w:rsid w:val="003171EF"/>
    <w:rsid w:val="003172A0"/>
    <w:rsid w:val="00317F16"/>
    <w:rsid w:val="00317FEE"/>
    <w:rsid w:val="0032117B"/>
    <w:rsid w:val="00321A22"/>
    <w:rsid w:val="00322027"/>
    <w:rsid w:val="00322570"/>
    <w:rsid w:val="003268D1"/>
    <w:rsid w:val="003272F1"/>
    <w:rsid w:val="00330303"/>
    <w:rsid w:val="0033034D"/>
    <w:rsid w:val="00331521"/>
    <w:rsid w:val="0033155D"/>
    <w:rsid w:val="0033157D"/>
    <w:rsid w:val="00332661"/>
    <w:rsid w:val="003335E2"/>
    <w:rsid w:val="00333C58"/>
    <w:rsid w:val="003341FB"/>
    <w:rsid w:val="00334A49"/>
    <w:rsid w:val="00335BF5"/>
    <w:rsid w:val="003360F7"/>
    <w:rsid w:val="00336939"/>
    <w:rsid w:val="00336ACA"/>
    <w:rsid w:val="003375C8"/>
    <w:rsid w:val="00337B25"/>
    <w:rsid w:val="00342EFB"/>
    <w:rsid w:val="00343CD1"/>
    <w:rsid w:val="003469E4"/>
    <w:rsid w:val="00350CCA"/>
    <w:rsid w:val="00353B34"/>
    <w:rsid w:val="003563CA"/>
    <w:rsid w:val="00357726"/>
    <w:rsid w:val="003607EA"/>
    <w:rsid w:val="0036151F"/>
    <w:rsid w:val="003628C3"/>
    <w:rsid w:val="00362976"/>
    <w:rsid w:val="00362F83"/>
    <w:rsid w:val="00363963"/>
    <w:rsid w:val="00363DA7"/>
    <w:rsid w:val="00366793"/>
    <w:rsid w:val="00370A7D"/>
    <w:rsid w:val="00370EC8"/>
    <w:rsid w:val="00376971"/>
    <w:rsid w:val="003809A2"/>
    <w:rsid w:val="00381411"/>
    <w:rsid w:val="003820DC"/>
    <w:rsid w:val="003828EF"/>
    <w:rsid w:val="00382E87"/>
    <w:rsid w:val="00383D26"/>
    <w:rsid w:val="00383F96"/>
    <w:rsid w:val="00386C6C"/>
    <w:rsid w:val="003901B9"/>
    <w:rsid w:val="00390C2B"/>
    <w:rsid w:val="0039366B"/>
    <w:rsid w:val="00394A6B"/>
    <w:rsid w:val="003966EA"/>
    <w:rsid w:val="00397849"/>
    <w:rsid w:val="003A1588"/>
    <w:rsid w:val="003A33C5"/>
    <w:rsid w:val="003A38D9"/>
    <w:rsid w:val="003A651B"/>
    <w:rsid w:val="003A7358"/>
    <w:rsid w:val="003B059F"/>
    <w:rsid w:val="003B1E11"/>
    <w:rsid w:val="003B2E45"/>
    <w:rsid w:val="003B30D6"/>
    <w:rsid w:val="003B38F4"/>
    <w:rsid w:val="003B48FE"/>
    <w:rsid w:val="003B499A"/>
    <w:rsid w:val="003B4BE9"/>
    <w:rsid w:val="003B6E5D"/>
    <w:rsid w:val="003B73B5"/>
    <w:rsid w:val="003B7DA4"/>
    <w:rsid w:val="003C04BD"/>
    <w:rsid w:val="003C1E27"/>
    <w:rsid w:val="003C61BE"/>
    <w:rsid w:val="003D1E23"/>
    <w:rsid w:val="003D1EFF"/>
    <w:rsid w:val="003D2F84"/>
    <w:rsid w:val="003D5C06"/>
    <w:rsid w:val="003E2B33"/>
    <w:rsid w:val="003E33B3"/>
    <w:rsid w:val="003E4825"/>
    <w:rsid w:val="003E68A4"/>
    <w:rsid w:val="003F010E"/>
    <w:rsid w:val="003F01DE"/>
    <w:rsid w:val="003F5CC6"/>
    <w:rsid w:val="003F67E4"/>
    <w:rsid w:val="003F6CA2"/>
    <w:rsid w:val="00400580"/>
    <w:rsid w:val="00400BB8"/>
    <w:rsid w:val="004010CE"/>
    <w:rsid w:val="004010F6"/>
    <w:rsid w:val="004013F4"/>
    <w:rsid w:val="00401D7A"/>
    <w:rsid w:val="004021C7"/>
    <w:rsid w:val="00402E14"/>
    <w:rsid w:val="004036EF"/>
    <w:rsid w:val="004038DB"/>
    <w:rsid w:val="004042F1"/>
    <w:rsid w:val="00404B0D"/>
    <w:rsid w:val="00406293"/>
    <w:rsid w:val="0041082B"/>
    <w:rsid w:val="00414F7E"/>
    <w:rsid w:val="00416C8B"/>
    <w:rsid w:val="00420461"/>
    <w:rsid w:val="00421A6D"/>
    <w:rsid w:val="00423A39"/>
    <w:rsid w:val="00424085"/>
    <w:rsid w:val="0042472E"/>
    <w:rsid w:val="004248AD"/>
    <w:rsid w:val="00430F96"/>
    <w:rsid w:val="00436618"/>
    <w:rsid w:val="00437B95"/>
    <w:rsid w:val="00440191"/>
    <w:rsid w:val="00440DC5"/>
    <w:rsid w:val="004447DB"/>
    <w:rsid w:val="0044553D"/>
    <w:rsid w:val="00445CDB"/>
    <w:rsid w:val="00446AC5"/>
    <w:rsid w:val="00450B4A"/>
    <w:rsid w:val="0045336E"/>
    <w:rsid w:val="00453AC3"/>
    <w:rsid w:val="004560CF"/>
    <w:rsid w:val="00456E0F"/>
    <w:rsid w:val="004578ED"/>
    <w:rsid w:val="00457D11"/>
    <w:rsid w:val="00457FB2"/>
    <w:rsid w:val="00460874"/>
    <w:rsid w:val="00460F75"/>
    <w:rsid w:val="0046351E"/>
    <w:rsid w:val="0046473B"/>
    <w:rsid w:val="004652F0"/>
    <w:rsid w:val="0046687D"/>
    <w:rsid w:val="00471DB9"/>
    <w:rsid w:val="004730B5"/>
    <w:rsid w:val="00473832"/>
    <w:rsid w:val="004744A1"/>
    <w:rsid w:val="00475435"/>
    <w:rsid w:val="004762C7"/>
    <w:rsid w:val="004765D9"/>
    <w:rsid w:val="004802E3"/>
    <w:rsid w:val="0048071C"/>
    <w:rsid w:val="0048103C"/>
    <w:rsid w:val="00481710"/>
    <w:rsid w:val="0048199F"/>
    <w:rsid w:val="00483FB6"/>
    <w:rsid w:val="00484A26"/>
    <w:rsid w:val="00485219"/>
    <w:rsid w:val="00492B0A"/>
    <w:rsid w:val="0049384E"/>
    <w:rsid w:val="00495D88"/>
    <w:rsid w:val="004A168C"/>
    <w:rsid w:val="004A47E9"/>
    <w:rsid w:val="004A5635"/>
    <w:rsid w:val="004A6A6B"/>
    <w:rsid w:val="004A6AE1"/>
    <w:rsid w:val="004A745E"/>
    <w:rsid w:val="004B11A0"/>
    <w:rsid w:val="004B47EA"/>
    <w:rsid w:val="004B5368"/>
    <w:rsid w:val="004B53C5"/>
    <w:rsid w:val="004B5983"/>
    <w:rsid w:val="004B5D6C"/>
    <w:rsid w:val="004B6284"/>
    <w:rsid w:val="004B62AA"/>
    <w:rsid w:val="004B65D5"/>
    <w:rsid w:val="004B689C"/>
    <w:rsid w:val="004C0507"/>
    <w:rsid w:val="004C20EE"/>
    <w:rsid w:val="004C25D5"/>
    <w:rsid w:val="004C41D4"/>
    <w:rsid w:val="004C4A84"/>
    <w:rsid w:val="004C5B9A"/>
    <w:rsid w:val="004D69A8"/>
    <w:rsid w:val="004E1C75"/>
    <w:rsid w:val="004E4B7C"/>
    <w:rsid w:val="004E7435"/>
    <w:rsid w:val="004E760D"/>
    <w:rsid w:val="004F0A79"/>
    <w:rsid w:val="004F1F64"/>
    <w:rsid w:val="004F22E2"/>
    <w:rsid w:val="004F255B"/>
    <w:rsid w:val="004F2963"/>
    <w:rsid w:val="004F4A92"/>
    <w:rsid w:val="005006F6"/>
    <w:rsid w:val="005034C4"/>
    <w:rsid w:val="00503664"/>
    <w:rsid w:val="00504F7B"/>
    <w:rsid w:val="0050691B"/>
    <w:rsid w:val="00506DB1"/>
    <w:rsid w:val="00510F9A"/>
    <w:rsid w:val="00513E8F"/>
    <w:rsid w:val="005141EB"/>
    <w:rsid w:val="00514919"/>
    <w:rsid w:val="00520CFC"/>
    <w:rsid w:val="0052101A"/>
    <w:rsid w:val="0052249E"/>
    <w:rsid w:val="0052292C"/>
    <w:rsid w:val="00522BF0"/>
    <w:rsid w:val="005236EB"/>
    <w:rsid w:val="005239E1"/>
    <w:rsid w:val="00526D40"/>
    <w:rsid w:val="00527220"/>
    <w:rsid w:val="00527270"/>
    <w:rsid w:val="005277F2"/>
    <w:rsid w:val="00527DBB"/>
    <w:rsid w:val="00530D25"/>
    <w:rsid w:val="0053189B"/>
    <w:rsid w:val="00533A7C"/>
    <w:rsid w:val="005344AC"/>
    <w:rsid w:val="00534670"/>
    <w:rsid w:val="00535539"/>
    <w:rsid w:val="00537869"/>
    <w:rsid w:val="00537FA8"/>
    <w:rsid w:val="00540C49"/>
    <w:rsid w:val="005433C8"/>
    <w:rsid w:val="00544E69"/>
    <w:rsid w:val="0054641B"/>
    <w:rsid w:val="00546B03"/>
    <w:rsid w:val="00546D96"/>
    <w:rsid w:val="00546DC2"/>
    <w:rsid w:val="00547C9C"/>
    <w:rsid w:val="005510D4"/>
    <w:rsid w:val="0055195A"/>
    <w:rsid w:val="005531FD"/>
    <w:rsid w:val="00555936"/>
    <w:rsid w:val="00560E21"/>
    <w:rsid w:val="00560E7A"/>
    <w:rsid w:val="0056206F"/>
    <w:rsid w:val="0056246B"/>
    <w:rsid w:val="00564B12"/>
    <w:rsid w:val="00566532"/>
    <w:rsid w:val="00567573"/>
    <w:rsid w:val="005704E4"/>
    <w:rsid w:val="00570BC7"/>
    <w:rsid w:val="00570C8B"/>
    <w:rsid w:val="00570F5A"/>
    <w:rsid w:val="005717D9"/>
    <w:rsid w:val="0057181E"/>
    <w:rsid w:val="00573765"/>
    <w:rsid w:val="005747BF"/>
    <w:rsid w:val="00574DA2"/>
    <w:rsid w:val="00576377"/>
    <w:rsid w:val="00576BDF"/>
    <w:rsid w:val="0058190A"/>
    <w:rsid w:val="00585CFE"/>
    <w:rsid w:val="005860FA"/>
    <w:rsid w:val="005930D3"/>
    <w:rsid w:val="00593D4B"/>
    <w:rsid w:val="00595C06"/>
    <w:rsid w:val="0059738D"/>
    <w:rsid w:val="005A06A5"/>
    <w:rsid w:val="005A2B2B"/>
    <w:rsid w:val="005A4D25"/>
    <w:rsid w:val="005A55F0"/>
    <w:rsid w:val="005A5C0E"/>
    <w:rsid w:val="005A7168"/>
    <w:rsid w:val="005A7E03"/>
    <w:rsid w:val="005B2DEF"/>
    <w:rsid w:val="005B63C5"/>
    <w:rsid w:val="005C1142"/>
    <w:rsid w:val="005C3D7E"/>
    <w:rsid w:val="005C3DDC"/>
    <w:rsid w:val="005C41B2"/>
    <w:rsid w:val="005C49BA"/>
    <w:rsid w:val="005C57FA"/>
    <w:rsid w:val="005C603C"/>
    <w:rsid w:val="005C778D"/>
    <w:rsid w:val="005C7D7A"/>
    <w:rsid w:val="005D0BA7"/>
    <w:rsid w:val="005D1902"/>
    <w:rsid w:val="005D3663"/>
    <w:rsid w:val="005D64D5"/>
    <w:rsid w:val="005D6D6C"/>
    <w:rsid w:val="005D6EED"/>
    <w:rsid w:val="005E1FC3"/>
    <w:rsid w:val="005E4543"/>
    <w:rsid w:val="005E50AF"/>
    <w:rsid w:val="005E542D"/>
    <w:rsid w:val="005E58F6"/>
    <w:rsid w:val="005E642D"/>
    <w:rsid w:val="005F0AC5"/>
    <w:rsid w:val="005F0CE2"/>
    <w:rsid w:val="005F16A8"/>
    <w:rsid w:val="005F2DAB"/>
    <w:rsid w:val="005F4252"/>
    <w:rsid w:val="005F4927"/>
    <w:rsid w:val="005F4C3B"/>
    <w:rsid w:val="005F6AC9"/>
    <w:rsid w:val="005F792B"/>
    <w:rsid w:val="00600B3D"/>
    <w:rsid w:val="0060179C"/>
    <w:rsid w:val="00603611"/>
    <w:rsid w:val="00606109"/>
    <w:rsid w:val="00607CD8"/>
    <w:rsid w:val="00607CFC"/>
    <w:rsid w:val="00611889"/>
    <w:rsid w:val="00611981"/>
    <w:rsid w:val="00611F14"/>
    <w:rsid w:val="00613D9F"/>
    <w:rsid w:val="00614248"/>
    <w:rsid w:val="0061444C"/>
    <w:rsid w:val="006145FB"/>
    <w:rsid w:val="00615C05"/>
    <w:rsid w:val="00617DFF"/>
    <w:rsid w:val="00622AEF"/>
    <w:rsid w:val="00623D62"/>
    <w:rsid w:val="00624F66"/>
    <w:rsid w:val="006309B1"/>
    <w:rsid w:val="006309CF"/>
    <w:rsid w:val="00631FBC"/>
    <w:rsid w:val="006320D4"/>
    <w:rsid w:val="006321E8"/>
    <w:rsid w:val="006322F3"/>
    <w:rsid w:val="00632650"/>
    <w:rsid w:val="00632CD9"/>
    <w:rsid w:val="00634441"/>
    <w:rsid w:val="00634C84"/>
    <w:rsid w:val="006354E3"/>
    <w:rsid w:val="00636F94"/>
    <w:rsid w:val="00641A5E"/>
    <w:rsid w:val="006420BB"/>
    <w:rsid w:val="0064234A"/>
    <w:rsid w:val="00644BD6"/>
    <w:rsid w:val="0064707A"/>
    <w:rsid w:val="006519C4"/>
    <w:rsid w:val="00653694"/>
    <w:rsid w:val="00654181"/>
    <w:rsid w:val="0065500B"/>
    <w:rsid w:val="006550EE"/>
    <w:rsid w:val="00657101"/>
    <w:rsid w:val="006603B4"/>
    <w:rsid w:val="0066118C"/>
    <w:rsid w:val="00661A43"/>
    <w:rsid w:val="00662A08"/>
    <w:rsid w:val="00665251"/>
    <w:rsid w:val="00670C4F"/>
    <w:rsid w:val="00670F04"/>
    <w:rsid w:val="0067226D"/>
    <w:rsid w:val="006736C7"/>
    <w:rsid w:val="0067563E"/>
    <w:rsid w:val="00680107"/>
    <w:rsid w:val="006803E3"/>
    <w:rsid w:val="00680EF6"/>
    <w:rsid w:val="006814D4"/>
    <w:rsid w:val="00682382"/>
    <w:rsid w:val="00682B7B"/>
    <w:rsid w:val="00683DA4"/>
    <w:rsid w:val="00685453"/>
    <w:rsid w:val="00685A75"/>
    <w:rsid w:val="00685CE2"/>
    <w:rsid w:val="00686247"/>
    <w:rsid w:val="00686731"/>
    <w:rsid w:val="006871E4"/>
    <w:rsid w:val="006925CB"/>
    <w:rsid w:val="00692CD6"/>
    <w:rsid w:val="00692E67"/>
    <w:rsid w:val="0069320D"/>
    <w:rsid w:val="00696D7A"/>
    <w:rsid w:val="006A01D4"/>
    <w:rsid w:val="006A3DEA"/>
    <w:rsid w:val="006A45D9"/>
    <w:rsid w:val="006A4F1B"/>
    <w:rsid w:val="006A631E"/>
    <w:rsid w:val="006A6CDA"/>
    <w:rsid w:val="006B24E7"/>
    <w:rsid w:val="006B3677"/>
    <w:rsid w:val="006B4E3C"/>
    <w:rsid w:val="006B517A"/>
    <w:rsid w:val="006B5E88"/>
    <w:rsid w:val="006B634F"/>
    <w:rsid w:val="006B7910"/>
    <w:rsid w:val="006C1B36"/>
    <w:rsid w:val="006C36FF"/>
    <w:rsid w:val="006C5EAD"/>
    <w:rsid w:val="006C6812"/>
    <w:rsid w:val="006C7F66"/>
    <w:rsid w:val="006D132E"/>
    <w:rsid w:val="006D15B7"/>
    <w:rsid w:val="006D1806"/>
    <w:rsid w:val="006D2CC9"/>
    <w:rsid w:val="006D3C82"/>
    <w:rsid w:val="006D3ED0"/>
    <w:rsid w:val="006E0B36"/>
    <w:rsid w:val="006E0B94"/>
    <w:rsid w:val="006E0B9B"/>
    <w:rsid w:val="006E35E8"/>
    <w:rsid w:val="006E5A06"/>
    <w:rsid w:val="006E6084"/>
    <w:rsid w:val="006E7894"/>
    <w:rsid w:val="006F0745"/>
    <w:rsid w:val="006F07FF"/>
    <w:rsid w:val="006F1185"/>
    <w:rsid w:val="006F145C"/>
    <w:rsid w:val="006F3A73"/>
    <w:rsid w:val="006F6141"/>
    <w:rsid w:val="006F6465"/>
    <w:rsid w:val="006F6845"/>
    <w:rsid w:val="006F6907"/>
    <w:rsid w:val="00701E69"/>
    <w:rsid w:val="007046F8"/>
    <w:rsid w:val="00706FC1"/>
    <w:rsid w:val="00710135"/>
    <w:rsid w:val="00710306"/>
    <w:rsid w:val="007115A9"/>
    <w:rsid w:val="007137A5"/>
    <w:rsid w:val="00714016"/>
    <w:rsid w:val="00715548"/>
    <w:rsid w:val="00716A02"/>
    <w:rsid w:val="0072035E"/>
    <w:rsid w:val="00720D52"/>
    <w:rsid w:val="00721A4C"/>
    <w:rsid w:val="00721ADC"/>
    <w:rsid w:val="007251D1"/>
    <w:rsid w:val="00725C58"/>
    <w:rsid w:val="007261E7"/>
    <w:rsid w:val="00727606"/>
    <w:rsid w:val="007310D1"/>
    <w:rsid w:val="00731931"/>
    <w:rsid w:val="00731ACD"/>
    <w:rsid w:val="0073226E"/>
    <w:rsid w:val="00734C85"/>
    <w:rsid w:val="007372E6"/>
    <w:rsid w:val="0074115D"/>
    <w:rsid w:val="007419AC"/>
    <w:rsid w:val="00741EB4"/>
    <w:rsid w:val="007429D6"/>
    <w:rsid w:val="00742A49"/>
    <w:rsid w:val="007457FB"/>
    <w:rsid w:val="00746227"/>
    <w:rsid w:val="00747527"/>
    <w:rsid w:val="00747B99"/>
    <w:rsid w:val="0075070F"/>
    <w:rsid w:val="00751518"/>
    <w:rsid w:val="00751A4F"/>
    <w:rsid w:val="00753399"/>
    <w:rsid w:val="00760661"/>
    <w:rsid w:val="00761D93"/>
    <w:rsid w:val="00762066"/>
    <w:rsid w:val="00762083"/>
    <w:rsid w:val="0076286A"/>
    <w:rsid w:val="00763556"/>
    <w:rsid w:val="00763AF2"/>
    <w:rsid w:val="00765047"/>
    <w:rsid w:val="007669D7"/>
    <w:rsid w:val="00766AC6"/>
    <w:rsid w:val="0077181B"/>
    <w:rsid w:val="00772040"/>
    <w:rsid w:val="00772E53"/>
    <w:rsid w:val="007751F9"/>
    <w:rsid w:val="007764BA"/>
    <w:rsid w:val="00776822"/>
    <w:rsid w:val="00777D77"/>
    <w:rsid w:val="007806DA"/>
    <w:rsid w:val="00783F9A"/>
    <w:rsid w:val="00785FEE"/>
    <w:rsid w:val="007874A3"/>
    <w:rsid w:val="007912D2"/>
    <w:rsid w:val="0079435D"/>
    <w:rsid w:val="00794F14"/>
    <w:rsid w:val="00795246"/>
    <w:rsid w:val="00795976"/>
    <w:rsid w:val="00796616"/>
    <w:rsid w:val="007A011E"/>
    <w:rsid w:val="007A04AC"/>
    <w:rsid w:val="007A3166"/>
    <w:rsid w:val="007A7223"/>
    <w:rsid w:val="007B06FA"/>
    <w:rsid w:val="007B141D"/>
    <w:rsid w:val="007B2382"/>
    <w:rsid w:val="007B2D72"/>
    <w:rsid w:val="007B36EF"/>
    <w:rsid w:val="007B69DC"/>
    <w:rsid w:val="007C177C"/>
    <w:rsid w:val="007C38DA"/>
    <w:rsid w:val="007C41CB"/>
    <w:rsid w:val="007C594F"/>
    <w:rsid w:val="007C5C82"/>
    <w:rsid w:val="007D0B84"/>
    <w:rsid w:val="007D3251"/>
    <w:rsid w:val="007D719D"/>
    <w:rsid w:val="007E29A5"/>
    <w:rsid w:val="007E4A72"/>
    <w:rsid w:val="007E54D0"/>
    <w:rsid w:val="007E64F8"/>
    <w:rsid w:val="007E6FCD"/>
    <w:rsid w:val="007E7D84"/>
    <w:rsid w:val="007F1471"/>
    <w:rsid w:val="007F1E30"/>
    <w:rsid w:val="007F2568"/>
    <w:rsid w:val="007F277A"/>
    <w:rsid w:val="007F2B72"/>
    <w:rsid w:val="007F36A2"/>
    <w:rsid w:val="007F437F"/>
    <w:rsid w:val="00800260"/>
    <w:rsid w:val="008007CA"/>
    <w:rsid w:val="008008FD"/>
    <w:rsid w:val="00801528"/>
    <w:rsid w:val="008024D6"/>
    <w:rsid w:val="0080254C"/>
    <w:rsid w:val="0080369D"/>
    <w:rsid w:val="00811E83"/>
    <w:rsid w:val="008121B7"/>
    <w:rsid w:val="00813A57"/>
    <w:rsid w:val="008159BB"/>
    <w:rsid w:val="00815BA2"/>
    <w:rsid w:val="00817AD9"/>
    <w:rsid w:val="00817CD6"/>
    <w:rsid w:val="00822C3F"/>
    <w:rsid w:val="0082687F"/>
    <w:rsid w:val="00827DF3"/>
    <w:rsid w:val="00830C2C"/>
    <w:rsid w:val="0083168C"/>
    <w:rsid w:val="00832172"/>
    <w:rsid w:val="008325A0"/>
    <w:rsid w:val="00837960"/>
    <w:rsid w:val="00837E3E"/>
    <w:rsid w:val="00843C33"/>
    <w:rsid w:val="008472EC"/>
    <w:rsid w:val="0085005C"/>
    <w:rsid w:val="008513D6"/>
    <w:rsid w:val="008516E8"/>
    <w:rsid w:val="00852717"/>
    <w:rsid w:val="00852CD9"/>
    <w:rsid w:val="0085558D"/>
    <w:rsid w:val="008606AE"/>
    <w:rsid w:val="008611AF"/>
    <w:rsid w:val="00862F10"/>
    <w:rsid w:val="00866834"/>
    <w:rsid w:val="00867B8E"/>
    <w:rsid w:val="00867C33"/>
    <w:rsid w:val="00870F01"/>
    <w:rsid w:val="0087145E"/>
    <w:rsid w:val="008738B6"/>
    <w:rsid w:val="008739B5"/>
    <w:rsid w:val="00874B57"/>
    <w:rsid w:val="008750C4"/>
    <w:rsid w:val="00876D38"/>
    <w:rsid w:val="008775F2"/>
    <w:rsid w:val="00877C40"/>
    <w:rsid w:val="0088081D"/>
    <w:rsid w:val="008809DB"/>
    <w:rsid w:val="00883A22"/>
    <w:rsid w:val="00884B19"/>
    <w:rsid w:val="00886C33"/>
    <w:rsid w:val="00886DAE"/>
    <w:rsid w:val="00886FCA"/>
    <w:rsid w:val="00887E73"/>
    <w:rsid w:val="00887F49"/>
    <w:rsid w:val="00891303"/>
    <w:rsid w:val="0089157C"/>
    <w:rsid w:val="008946A3"/>
    <w:rsid w:val="00894BF1"/>
    <w:rsid w:val="008955B6"/>
    <w:rsid w:val="00896DAF"/>
    <w:rsid w:val="00896F28"/>
    <w:rsid w:val="00897F49"/>
    <w:rsid w:val="008A0C6C"/>
    <w:rsid w:val="008A1556"/>
    <w:rsid w:val="008A2791"/>
    <w:rsid w:val="008A3169"/>
    <w:rsid w:val="008A53BD"/>
    <w:rsid w:val="008A5D6F"/>
    <w:rsid w:val="008A5DED"/>
    <w:rsid w:val="008B0B87"/>
    <w:rsid w:val="008B0F4A"/>
    <w:rsid w:val="008B11FB"/>
    <w:rsid w:val="008B144B"/>
    <w:rsid w:val="008B3E43"/>
    <w:rsid w:val="008B4A80"/>
    <w:rsid w:val="008B4B5A"/>
    <w:rsid w:val="008B5AD7"/>
    <w:rsid w:val="008B5E31"/>
    <w:rsid w:val="008B5E7E"/>
    <w:rsid w:val="008B63B7"/>
    <w:rsid w:val="008B765F"/>
    <w:rsid w:val="008B7758"/>
    <w:rsid w:val="008C0415"/>
    <w:rsid w:val="008C0A8A"/>
    <w:rsid w:val="008C0ABB"/>
    <w:rsid w:val="008C139C"/>
    <w:rsid w:val="008C14A1"/>
    <w:rsid w:val="008C19B0"/>
    <w:rsid w:val="008C29D0"/>
    <w:rsid w:val="008C47EE"/>
    <w:rsid w:val="008C54E0"/>
    <w:rsid w:val="008C558B"/>
    <w:rsid w:val="008C6A07"/>
    <w:rsid w:val="008C7A34"/>
    <w:rsid w:val="008D03E7"/>
    <w:rsid w:val="008D0B13"/>
    <w:rsid w:val="008D22EA"/>
    <w:rsid w:val="008D2F28"/>
    <w:rsid w:val="008D3DE4"/>
    <w:rsid w:val="008D3EE9"/>
    <w:rsid w:val="008D4C31"/>
    <w:rsid w:val="008D6821"/>
    <w:rsid w:val="008D6F91"/>
    <w:rsid w:val="008E0422"/>
    <w:rsid w:val="008E264D"/>
    <w:rsid w:val="008E2FE0"/>
    <w:rsid w:val="008E7237"/>
    <w:rsid w:val="008F07F4"/>
    <w:rsid w:val="008F230F"/>
    <w:rsid w:val="008F2367"/>
    <w:rsid w:val="008F27D4"/>
    <w:rsid w:val="008F2974"/>
    <w:rsid w:val="008F494B"/>
    <w:rsid w:val="008F5011"/>
    <w:rsid w:val="008F6C2F"/>
    <w:rsid w:val="008F701D"/>
    <w:rsid w:val="00900D94"/>
    <w:rsid w:val="009029CA"/>
    <w:rsid w:val="00903981"/>
    <w:rsid w:val="00905C3E"/>
    <w:rsid w:val="00905EA2"/>
    <w:rsid w:val="00906FD8"/>
    <w:rsid w:val="00910A99"/>
    <w:rsid w:val="0091178C"/>
    <w:rsid w:val="00911F52"/>
    <w:rsid w:val="009122E3"/>
    <w:rsid w:val="00914A9C"/>
    <w:rsid w:val="00914D97"/>
    <w:rsid w:val="00916767"/>
    <w:rsid w:val="00916E21"/>
    <w:rsid w:val="00921A79"/>
    <w:rsid w:val="00923753"/>
    <w:rsid w:val="00923832"/>
    <w:rsid w:val="009244A3"/>
    <w:rsid w:val="009248AF"/>
    <w:rsid w:val="00927079"/>
    <w:rsid w:val="009272C2"/>
    <w:rsid w:val="00927DD5"/>
    <w:rsid w:val="009307F2"/>
    <w:rsid w:val="009316EB"/>
    <w:rsid w:val="00931E5B"/>
    <w:rsid w:val="00931EC5"/>
    <w:rsid w:val="00932490"/>
    <w:rsid w:val="009329AA"/>
    <w:rsid w:val="00932D95"/>
    <w:rsid w:val="00935F90"/>
    <w:rsid w:val="00943835"/>
    <w:rsid w:val="00945151"/>
    <w:rsid w:val="00946809"/>
    <w:rsid w:val="00947A8B"/>
    <w:rsid w:val="00950E43"/>
    <w:rsid w:val="00951E49"/>
    <w:rsid w:val="00952376"/>
    <w:rsid w:val="0095451A"/>
    <w:rsid w:val="00954D76"/>
    <w:rsid w:val="00955AD0"/>
    <w:rsid w:val="00957573"/>
    <w:rsid w:val="00960129"/>
    <w:rsid w:val="009625D4"/>
    <w:rsid w:val="0096442F"/>
    <w:rsid w:val="00964640"/>
    <w:rsid w:val="009678A0"/>
    <w:rsid w:val="009755F9"/>
    <w:rsid w:val="00976549"/>
    <w:rsid w:val="00976A2C"/>
    <w:rsid w:val="00980304"/>
    <w:rsid w:val="009818DA"/>
    <w:rsid w:val="00981F44"/>
    <w:rsid w:val="00982535"/>
    <w:rsid w:val="00983E24"/>
    <w:rsid w:val="0098585B"/>
    <w:rsid w:val="00986535"/>
    <w:rsid w:val="00987091"/>
    <w:rsid w:val="00991F0F"/>
    <w:rsid w:val="00992BCF"/>
    <w:rsid w:val="00995350"/>
    <w:rsid w:val="00996736"/>
    <w:rsid w:val="009969E6"/>
    <w:rsid w:val="00996A4D"/>
    <w:rsid w:val="009A16CA"/>
    <w:rsid w:val="009A4330"/>
    <w:rsid w:val="009A5470"/>
    <w:rsid w:val="009A5DE5"/>
    <w:rsid w:val="009A71D7"/>
    <w:rsid w:val="009A7638"/>
    <w:rsid w:val="009B0CD8"/>
    <w:rsid w:val="009B2667"/>
    <w:rsid w:val="009B3503"/>
    <w:rsid w:val="009B51E4"/>
    <w:rsid w:val="009B7B75"/>
    <w:rsid w:val="009C0031"/>
    <w:rsid w:val="009C07E5"/>
    <w:rsid w:val="009C0C97"/>
    <w:rsid w:val="009C1D58"/>
    <w:rsid w:val="009C2945"/>
    <w:rsid w:val="009D0ACF"/>
    <w:rsid w:val="009D0FDF"/>
    <w:rsid w:val="009D22B8"/>
    <w:rsid w:val="009D3E4E"/>
    <w:rsid w:val="009D71C2"/>
    <w:rsid w:val="009D7305"/>
    <w:rsid w:val="009D74CB"/>
    <w:rsid w:val="009D7F65"/>
    <w:rsid w:val="009E177A"/>
    <w:rsid w:val="009E2461"/>
    <w:rsid w:val="009E53BF"/>
    <w:rsid w:val="009E5B2F"/>
    <w:rsid w:val="009F0298"/>
    <w:rsid w:val="009F08B3"/>
    <w:rsid w:val="009F2667"/>
    <w:rsid w:val="009F3A5C"/>
    <w:rsid w:val="009F3D0C"/>
    <w:rsid w:val="009F4ECA"/>
    <w:rsid w:val="009F6A1D"/>
    <w:rsid w:val="009F7433"/>
    <w:rsid w:val="00A00B87"/>
    <w:rsid w:val="00A014F8"/>
    <w:rsid w:val="00A01B2E"/>
    <w:rsid w:val="00A01BB9"/>
    <w:rsid w:val="00A02E13"/>
    <w:rsid w:val="00A0393F"/>
    <w:rsid w:val="00A04B35"/>
    <w:rsid w:val="00A06F25"/>
    <w:rsid w:val="00A079E4"/>
    <w:rsid w:val="00A10448"/>
    <w:rsid w:val="00A10CDD"/>
    <w:rsid w:val="00A10E57"/>
    <w:rsid w:val="00A17D90"/>
    <w:rsid w:val="00A2082E"/>
    <w:rsid w:val="00A20A0E"/>
    <w:rsid w:val="00A20FDB"/>
    <w:rsid w:val="00A2111A"/>
    <w:rsid w:val="00A22579"/>
    <w:rsid w:val="00A22DB3"/>
    <w:rsid w:val="00A23248"/>
    <w:rsid w:val="00A24213"/>
    <w:rsid w:val="00A24472"/>
    <w:rsid w:val="00A25364"/>
    <w:rsid w:val="00A265C0"/>
    <w:rsid w:val="00A26D6F"/>
    <w:rsid w:val="00A26E36"/>
    <w:rsid w:val="00A272BD"/>
    <w:rsid w:val="00A27BC0"/>
    <w:rsid w:val="00A309A6"/>
    <w:rsid w:val="00A33D85"/>
    <w:rsid w:val="00A377E5"/>
    <w:rsid w:val="00A37DB8"/>
    <w:rsid w:val="00A41235"/>
    <w:rsid w:val="00A42183"/>
    <w:rsid w:val="00A447F5"/>
    <w:rsid w:val="00A44FD2"/>
    <w:rsid w:val="00A47EF5"/>
    <w:rsid w:val="00A514B9"/>
    <w:rsid w:val="00A51F0E"/>
    <w:rsid w:val="00A52D5D"/>
    <w:rsid w:val="00A53CD9"/>
    <w:rsid w:val="00A54C24"/>
    <w:rsid w:val="00A55885"/>
    <w:rsid w:val="00A640DD"/>
    <w:rsid w:val="00A66090"/>
    <w:rsid w:val="00A66C89"/>
    <w:rsid w:val="00A674DC"/>
    <w:rsid w:val="00A6765F"/>
    <w:rsid w:val="00A67AFA"/>
    <w:rsid w:val="00A67B4E"/>
    <w:rsid w:val="00A67D0A"/>
    <w:rsid w:val="00A70C4A"/>
    <w:rsid w:val="00A70D15"/>
    <w:rsid w:val="00A714FA"/>
    <w:rsid w:val="00A71D47"/>
    <w:rsid w:val="00A741F2"/>
    <w:rsid w:val="00A745E6"/>
    <w:rsid w:val="00A75CE9"/>
    <w:rsid w:val="00A75E48"/>
    <w:rsid w:val="00A7670F"/>
    <w:rsid w:val="00A76D82"/>
    <w:rsid w:val="00A80072"/>
    <w:rsid w:val="00A80144"/>
    <w:rsid w:val="00A80C7A"/>
    <w:rsid w:val="00A81C3C"/>
    <w:rsid w:val="00A832A5"/>
    <w:rsid w:val="00A833E5"/>
    <w:rsid w:val="00A836B4"/>
    <w:rsid w:val="00A84259"/>
    <w:rsid w:val="00A86994"/>
    <w:rsid w:val="00A907F2"/>
    <w:rsid w:val="00A90B3D"/>
    <w:rsid w:val="00A9118E"/>
    <w:rsid w:val="00A911DC"/>
    <w:rsid w:val="00A91D03"/>
    <w:rsid w:val="00A91F88"/>
    <w:rsid w:val="00A92607"/>
    <w:rsid w:val="00A9588B"/>
    <w:rsid w:val="00A96879"/>
    <w:rsid w:val="00A96E45"/>
    <w:rsid w:val="00A973B8"/>
    <w:rsid w:val="00A97DBC"/>
    <w:rsid w:val="00AA1CC5"/>
    <w:rsid w:val="00AA2EDD"/>
    <w:rsid w:val="00AA330C"/>
    <w:rsid w:val="00AA4593"/>
    <w:rsid w:val="00AA5715"/>
    <w:rsid w:val="00AA6474"/>
    <w:rsid w:val="00AA6DF2"/>
    <w:rsid w:val="00AA70B0"/>
    <w:rsid w:val="00AB08A6"/>
    <w:rsid w:val="00AB255D"/>
    <w:rsid w:val="00AB38E0"/>
    <w:rsid w:val="00AB4F8C"/>
    <w:rsid w:val="00AB5B30"/>
    <w:rsid w:val="00AB5F3D"/>
    <w:rsid w:val="00AB67F1"/>
    <w:rsid w:val="00AC49E9"/>
    <w:rsid w:val="00AC4CA0"/>
    <w:rsid w:val="00AC587B"/>
    <w:rsid w:val="00AD027F"/>
    <w:rsid w:val="00AD20DA"/>
    <w:rsid w:val="00AD25F2"/>
    <w:rsid w:val="00AD2639"/>
    <w:rsid w:val="00AD5BC7"/>
    <w:rsid w:val="00AD76EC"/>
    <w:rsid w:val="00AE0F94"/>
    <w:rsid w:val="00AE2FB4"/>
    <w:rsid w:val="00AE3464"/>
    <w:rsid w:val="00AE4496"/>
    <w:rsid w:val="00AE4E4A"/>
    <w:rsid w:val="00AF04F7"/>
    <w:rsid w:val="00AF1EF4"/>
    <w:rsid w:val="00AF2CA3"/>
    <w:rsid w:val="00AF5EF1"/>
    <w:rsid w:val="00AF74C0"/>
    <w:rsid w:val="00B000B7"/>
    <w:rsid w:val="00B02DB2"/>
    <w:rsid w:val="00B03154"/>
    <w:rsid w:val="00B05C82"/>
    <w:rsid w:val="00B06F7D"/>
    <w:rsid w:val="00B141D2"/>
    <w:rsid w:val="00B1566E"/>
    <w:rsid w:val="00B15DA9"/>
    <w:rsid w:val="00B1652F"/>
    <w:rsid w:val="00B16F29"/>
    <w:rsid w:val="00B207F6"/>
    <w:rsid w:val="00B2116A"/>
    <w:rsid w:val="00B22923"/>
    <w:rsid w:val="00B23931"/>
    <w:rsid w:val="00B26EB8"/>
    <w:rsid w:val="00B30897"/>
    <w:rsid w:val="00B31846"/>
    <w:rsid w:val="00B33E1F"/>
    <w:rsid w:val="00B35006"/>
    <w:rsid w:val="00B37134"/>
    <w:rsid w:val="00B40EA3"/>
    <w:rsid w:val="00B41ECA"/>
    <w:rsid w:val="00B4524E"/>
    <w:rsid w:val="00B45AD6"/>
    <w:rsid w:val="00B47178"/>
    <w:rsid w:val="00B517F3"/>
    <w:rsid w:val="00B522DD"/>
    <w:rsid w:val="00B559D7"/>
    <w:rsid w:val="00B56FDF"/>
    <w:rsid w:val="00B57B3E"/>
    <w:rsid w:val="00B6003D"/>
    <w:rsid w:val="00B63061"/>
    <w:rsid w:val="00B64205"/>
    <w:rsid w:val="00B64FB3"/>
    <w:rsid w:val="00B651CA"/>
    <w:rsid w:val="00B65751"/>
    <w:rsid w:val="00B672BB"/>
    <w:rsid w:val="00B67BE1"/>
    <w:rsid w:val="00B7191E"/>
    <w:rsid w:val="00B72680"/>
    <w:rsid w:val="00B73F49"/>
    <w:rsid w:val="00B73F52"/>
    <w:rsid w:val="00B74124"/>
    <w:rsid w:val="00B74283"/>
    <w:rsid w:val="00B74396"/>
    <w:rsid w:val="00B74BE7"/>
    <w:rsid w:val="00B74D11"/>
    <w:rsid w:val="00B754D9"/>
    <w:rsid w:val="00B76FE2"/>
    <w:rsid w:val="00B7790B"/>
    <w:rsid w:val="00B80B4C"/>
    <w:rsid w:val="00B80EC9"/>
    <w:rsid w:val="00B81FF3"/>
    <w:rsid w:val="00B821A5"/>
    <w:rsid w:val="00B841DA"/>
    <w:rsid w:val="00B846E5"/>
    <w:rsid w:val="00B84F38"/>
    <w:rsid w:val="00B90F3F"/>
    <w:rsid w:val="00B910BE"/>
    <w:rsid w:val="00B918BA"/>
    <w:rsid w:val="00B93122"/>
    <w:rsid w:val="00BA000A"/>
    <w:rsid w:val="00BA097E"/>
    <w:rsid w:val="00BA3331"/>
    <w:rsid w:val="00BA398C"/>
    <w:rsid w:val="00BA4339"/>
    <w:rsid w:val="00BA6D67"/>
    <w:rsid w:val="00BA77BD"/>
    <w:rsid w:val="00BA793D"/>
    <w:rsid w:val="00BB2B8D"/>
    <w:rsid w:val="00BB32A4"/>
    <w:rsid w:val="00BB57EF"/>
    <w:rsid w:val="00BB7B3C"/>
    <w:rsid w:val="00BC0965"/>
    <w:rsid w:val="00BC1308"/>
    <w:rsid w:val="00BC29C4"/>
    <w:rsid w:val="00BC2CA7"/>
    <w:rsid w:val="00BD34F1"/>
    <w:rsid w:val="00BD79A5"/>
    <w:rsid w:val="00BE1476"/>
    <w:rsid w:val="00BE1CD9"/>
    <w:rsid w:val="00BE23B4"/>
    <w:rsid w:val="00BE249C"/>
    <w:rsid w:val="00BE3E9A"/>
    <w:rsid w:val="00BE4395"/>
    <w:rsid w:val="00BF1972"/>
    <w:rsid w:val="00BF24A1"/>
    <w:rsid w:val="00BF2F39"/>
    <w:rsid w:val="00BF456F"/>
    <w:rsid w:val="00BF704D"/>
    <w:rsid w:val="00C00EC6"/>
    <w:rsid w:val="00C061A5"/>
    <w:rsid w:val="00C06F14"/>
    <w:rsid w:val="00C07AB4"/>
    <w:rsid w:val="00C10EBE"/>
    <w:rsid w:val="00C12379"/>
    <w:rsid w:val="00C14904"/>
    <w:rsid w:val="00C15292"/>
    <w:rsid w:val="00C15C89"/>
    <w:rsid w:val="00C16527"/>
    <w:rsid w:val="00C16E74"/>
    <w:rsid w:val="00C211CF"/>
    <w:rsid w:val="00C213AB"/>
    <w:rsid w:val="00C23445"/>
    <w:rsid w:val="00C25AEB"/>
    <w:rsid w:val="00C27C1C"/>
    <w:rsid w:val="00C32969"/>
    <w:rsid w:val="00C33F25"/>
    <w:rsid w:val="00C34D4C"/>
    <w:rsid w:val="00C35AA1"/>
    <w:rsid w:val="00C35DE0"/>
    <w:rsid w:val="00C361CD"/>
    <w:rsid w:val="00C40330"/>
    <w:rsid w:val="00C40F29"/>
    <w:rsid w:val="00C42A12"/>
    <w:rsid w:val="00C45757"/>
    <w:rsid w:val="00C46B1D"/>
    <w:rsid w:val="00C47E34"/>
    <w:rsid w:val="00C503F7"/>
    <w:rsid w:val="00C51C56"/>
    <w:rsid w:val="00C527A0"/>
    <w:rsid w:val="00C53278"/>
    <w:rsid w:val="00C54397"/>
    <w:rsid w:val="00C54D4D"/>
    <w:rsid w:val="00C55D16"/>
    <w:rsid w:val="00C56FBF"/>
    <w:rsid w:val="00C574FE"/>
    <w:rsid w:val="00C6220E"/>
    <w:rsid w:val="00C63B76"/>
    <w:rsid w:val="00C64D20"/>
    <w:rsid w:val="00C64F02"/>
    <w:rsid w:val="00C664A7"/>
    <w:rsid w:val="00C67052"/>
    <w:rsid w:val="00C67770"/>
    <w:rsid w:val="00C70DE2"/>
    <w:rsid w:val="00C73CE9"/>
    <w:rsid w:val="00C74067"/>
    <w:rsid w:val="00C75228"/>
    <w:rsid w:val="00C75CC0"/>
    <w:rsid w:val="00C76DFB"/>
    <w:rsid w:val="00C77172"/>
    <w:rsid w:val="00C77FF1"/>
    <w:rsid w:val="00C81B8E"/>
    <w:rsid w:val="00C8221A"/>
    <w:rsid w:val="00C83713"/>
    <w:rsid w:val="00C83974"/>
    <w:rsid w:val="00C85526"/>
    <w:rsid w:val="00C85BF2"/>
    <w:rsid w:val="00C85D8D"/>
    <w:rsid w:val="00C861CD"/>
    <w:rsid w:val="00C86909"/>
    <w:rsid w:val="00C869AE"/>
    <w:rsid w:val="00C877C0"/>
    <w:rsid w:val="00C91EDF"/>
    <w:rsid w:val="00C92F66"/>
    <w:rsid w:val="00C94415"/>
    <w:rsid w:val="00C955FC"/>
    <w:rsid w:val="00C966EF"/>
    <w:rsid w:val="00C97FC1"/>
    <w:rsid w:val="00CA1442"/>
    <w:rsid w:val="00CA1CE6"/>
    <w:rsid w:val="00CA23AA"/>
    <w:rsid w:val="00CA3783"/>
    <w:rsid w:val="00CA3C87"/>
    <w:rsid w:val="00CA403A"/>
    <w:rsid w:val="00CA47C6"/>
    <w:rsid w:val="00CA5B8E"/>
    <w:rsid w:val="00CA5FBB"/>
    <w:rsid w:val="00CB14FE"/>
    <w:rsid w:val="00CB1E87"/>
    <w:rsid w:val="00CB3B47"/>
    <w:rsid w:val="00CB4EA4"/>
    <w:rsid w:val="00CB60F0"/>
    <w:rsid w:val="00CB66BF"/>
    <w:rsid w:val="00CB68B6"/>
    <w:rsid w:val="00CB6D02"/>
    <w:rsid w:val="00CB7733"/>
    <w:rsid w:val="00CC096A"/>
    <w:rsid w:val="00CC482F"/>
    <w:rsid w:val="00CC4BB9"/>
    <w:rsid w:val="00CD043C"/>
    <w:rsid w:val="00CD32F4"/>
    <w:rsid w:val="00CD360C"/>
    <w:rsid w:val="00CD3D0A"/>
    <w:rsid w:val="00CD3FBA"/>
    <w:rsid w:val="00CD4E1C"/>
    <w:rsid w:val="00CD4FC2"/>
    <w:rsid w:val="00CD4FE4"/>
    <w:rsid w:val="00CD6136"/>
    <w:rsid w:val="00CE2CA1"/>
    <w:rsid w:val="00CE2F4A"/>
    <w:rsid w:val="00CE51BA"/>
    <w:rsid w:val="00CE58D1"/>
    <w:rsid w:val="00CE5AFF"/>
    <w:rsid w:val="00CE61F4"/>
    <w:rsid w:val="00CE71B1"/>
    <w:rsid w:val="00CE7674"/>
    <w:rsid w:val="00CF0506"/>
    <w:rsid w:val="00CF1DBB"/>
    <w:rsid w:val="00CF360E"/>
    <w:rsid w:val="00CF3D26"/>
    <w:rsid w:val="00CF458C"/>
    <w:rsid w:val="00CF73A0"/>
    <w:rsid w:val="00CF76C9"/>
    <w:rsid w:val="00CF7CE1"/>
    <w:rsid w:val="00D02BD0"/>
    <w:rsid w:val="00D0486F"/>
    <w:rsid w:val="00D04FE0"/>
    <w:rsid w:val="00D05578"/>
    <w:rsid w:val="00D05D57"/>
    <w:rsid w:val="00D069D5"/>
    <w:rsid w:val="00D10C7D"/>
    <w:rsid w:val="00D117F0"/>
    <w:rsid w:val="00D1370A"/>
    <w:rsid w:val="00D15703"/>
    <w:rsid w:val="00D160B6"/>
    <w:rsid w:val="00D24259"/>
    <w:rsid w:val="00D24487"/>
    <w:rsid w:val="00D26383"/>
    <w:rsid w:val="00D267E0"/>
    <w:rsid w:val="00D26828"/>
    <w:rsid w:val="00D27247"/>
    <w:rsid w:val="00D31EAC"/>
    <w:rsid w:val="00D359AF"/>
    <w:rsid w:val="00D36FF1"/>
    <w:rsid w:val="00D37513"/>
    <w:rsid w:val="00D40DAB"/>
    <w:rsid w:val="00D40FF2"/>
    <w:rsid w:val="00D41485"/>
    <w:rsid w:val="00D41D09"/>
    <w:rsid w:val="00D4496B"/>
    <w:rsid w:val="00D475BF"/>
    <w:rsid w:val="00D478C0"/>
    <w:rsid w:val="00D5335E"/>
    <w:rsid w:val="00D5415F"/>
    <w:rsid w:val="00D550F9"/>
    <w:rsid w:val="00D5586D"/>
    <w:rsid w:val="00D60908"/>
    <w:rsid w:val="00D61460"/>
    <w:rsid w:val="00D62056"/>
    <w:rsid w:val="00D63889"/>
    <w:rsid w:val="00D6556E"/>
    <w:rsid w:val="00D65712"/>
    <w:rsid w:val="00D665E8"/>
    <w:rsid w:val="00D72936"/>
    <w:rsid w:val="00D72A16"/>
    <w:rsid w:val="00D7308B"/>
    <w:rsid w:val="00D73874"/>
    <w:rsid w:val="00D7534D"/>
    <w:rsid w:val="00D827E5"/>
    <w:rsid w:val="00D833EA"/>
    <w:rsid w:val="00D8440A"/>
    <w:rsid w:val="00D85B74"/>
    <w:rsid w:val="00D918DA"/>
    <w:rsid w:val="00D91D73"/>
    <w:rsid w:val="00D92CAE"/>
    <w:rsid w:val="00D94667"/>
    <w:rsid w:val="00D958F2"/>
    <w:rsid w:val="00D96750"/>
    <w:rsid w:val="00DA026C"/>
    <w:rsid w:val="00DA0462"/>
    <w:rsid w:val="00DA0AB5"/>
    <w:rsid w:val="00DA1CD7"/>
    <w:rsid w:val="00DA30DA"/>
    <w:rsid w:val="00DA3DB7"/>
    <w:rsid w:val="00DA5190"/>
    <w:rsid w:val="00DA558E"/>
    <w:rsid w:val="00DA5958"/>
    <w:rsid w:val="00DA6370"/>
    <w:rsid w:val="00DA6548"/>
    <w:rsid w:val="00DB1C47"/>
    <w:rsid w:val="00DB1CC3"/>
    <w:rsid w:val="00DB2286"/>
    <w:rsid w:val="00DB357E"/>
    <w:rsid w:val="00DB4FBB"/>
    <w:rsid w:val="00DC1319"/>
    <w:rsid w:val="00DC208E"/>
    <w:rsid w:val="00DC25E9"/>
    <w:rsid w:val="00DC2C04"/>
    <w:rsid w:val="00DC2D37"/>
    <w:rsid w:val="00DC3A93"/>
    <w:rsid w:val="00DC50C2"/>
    <w:rsid w:val="00DC6AF9"/>
    <w:rsid w:val="00DC7127"/>
    <w:rsid w:val="00DD0CC0"/>
    <w:rsid w:val="00DD1931"/>
    <w:rsid w:val="00DD28F7"/>
    <w:rsid w:val="00DD3DA2"/>
    <w:rsid w:val="00DD4785"/>
    <w:rsid w:val="00DD57DC"/>
    <w:rsid w:val="00DD657C"/>
    <w:rsid w:val="00DE0657"/>
    <w:rsid w:val="00DE1AB9"/>
    <w:rsid w:val="00DE42D6"/>
    <w:rsid w:val="00DE57F6"/>
    <w:rsid w:val="00DF0246"/>
    <w:rsid w:val="00DF0C75"/>
    <w:rsid w:val="00DF3455"/>
    <w:rsid w:val="00DF3FFD"/>
    <w:rsid w:val="00DF4163"/>
    <w:rsid w:val="00DF4338"/>
    <w:rsid w:val="00DF4847"/>
    <w:rsid w:val="00DF5266"/>
    <w:rsid w:val="00DF57DB"/>
    <w:rsid w:val="00DF5ABF"/>
    <w:rsid w:val="00E0038D"/>
    <w:rsid w:val="00E00CF1"/>
    <w:rsid w:val="00E01250"/>
    <w:rsid w:val="00E0217A"/>
    <w:rsid w:val="00E0305B"/>
    <w:rsid w:val="00E06A04"/>
    <w:rsid w:val="00E06E05"/>
    <w:rsid w:val="00E11853"/>
    <w:rsid w:val="00E12D3D"/>
    <w:rsid w:val="00E139C2"/>
    <w:rsid w:val="00E14F8F"/>
    <w:rsid w:val="00E15455"/>
    <w:rsid w:val="00E20D51"/>
    <w:rsid w:val="00E20E4E"/>
    <w:rsid w:val="00E21110"/>
    <w:rsid w:val="00E217DA"/>
    <w:rsid w:val="00E221B0"/>
    <w:rsid w:val="00E30A9B"/>
    <w:rsid w:val="00E31A87"/>
    <w:rsid w:val="00E34ED4"/>
    <w:rsid w:val="00E35114"/>
    <w:rsid w:val="00E36250"/>
    <w:rsid w:val="00E377B7"/>
    <w:rsid w:val="00E37D67"/>
    <w:rsid w:val="00E40E97"/>
    <w:rsid w:val="00E435B2"/>
    <w:rsid w:val="00E45309"/>
    <w:rsid w:val="00E463F0"/>
    <w:rsid w:val="00E474AB"/>
    <w:rsid w:val="00E52B95"/>
    <w:rsid w:val="00E53BF7"/>
    <w:rsid w:val="00E53C79"/>
    <w:rsid w:val="00E54B9F"/>
    <w:rsid w:val="00E54DEF"/>
    <w:rsid w:val="00E563B1"/>
    <w:rsid w:val="00E56805"/>
    <w:rsid w:val="00E572C0"/>
    <w:rsid w:val="00E57343"/>
    <w:rsid w:val="00E57451"/>
    <w:rsid w:val="00E60CDC"/>
    <w:rsid w:val="00E61284"/>
    <w:rsid w:val="00E6180D"/>
    <w:rsid w:val="00E63276"/>
    <w:rsid w:val="00E664BB"/>
    <w:rsid w:val="00E67CDE"/>
    <w:rsid w:val="00E7297C"/>
    <w:rsid w:val="00E747B7"/>
    <w:rsid w:val="00E74E75"/>
    <w:rsid w:val="00E756EA"/>
    <w:rsid w:val="00E76610"/>
    <w:rsid w:val="00E812AE"/>
    <w:rsid w:val="00E81AF2"/>
    <w:rsid w:val="00E827A3"/>
    <w:rsid w:val="00E8319B"/>
    <w:rsid w:val="00E8395A"/>
    <w:rsid w:val="00E83B8B"/>
    <w:rsid w:val="00E83C25"/>
    <w:rsid w:val="00E83EC8"/>
    <w:rsid w:val="00E83FBD"/>
    <w:rsid w:val="00E84AD3"/>
    <w:rsid w:val="00E85598"/>
    <w:rsid w:val="00E862A9"/>
    <w:rsid w:val="00E86EC0"/>
    <w:rsid w:val="00E91F9B"/>
    <w:rsid w:val="00E96F5A"/>
    <w:rsid w:val="00E97FD2"/>
    <w:rsid w:val="00EA28E0"/>
    <w:rsid w:val="00EA37F3"/>
    <w:rsid w:val="00EA3FA2"/>
    <w:rsid w:val="00EA6869"/>
    <w:rsid w:val="00EA79E8"/>
    <w:rsid w:val="00EB05E6"/>
    <w:rsid w:val="00EB174A"/>
    <w:rsid w:val="00EB36A2"/>
    <w:rsid w:val="00EB37A8"/>
    <w:rsid w:val="00EB642D"/>
    <w:rsid w:val="00EB6701"/>
    <w:rsid w:val="00EB67DA"/>
    <w:rsid w:val="00EB7E90"/>
    <w:rsid w:val="00EB7F04"/>
    <w:rsid w:val="00EC28AD"/>
    <w:rsid w:val="00EC581F"/>
    <w:rsid w:val="00EC59C8"/>
    <w:rsid w:val="00EC5E8C"/>
    <w:rsid w:val="00EC6C09"/>
    <w:rsid w:val="00EC6D40"/>
    <w:rsid w:val="00ED002E"/>
    <w:rsid w:val="00ED0083"/>
    <w:rsid w:val="00ED1109"/>
    <w:rsid w:val="00ED1743"/>
    <w:rsid w:val="00ED1E8D"/>
    <w:rsid w:val="00ED380B"/>
    <w:rsid w:val="00ED38B9"/>
    <w:rsid w:val="00ED3917"/>
    <w:rsid w:val="00ED3D1E"/>
    <w:rsid w:val="00ED4ED3"/>
    <w:rsid w:val="00EE09D3"/>
    <w:rsid w:val="00EE2296"/>
    <w:rsid w:val="00EE2824"/>
    <w:rsid w:val="00EE3C1E"/>
    <w:rsid w:val="00EE3E4D"/>
    <w:rsid w:val="00EE4E41"/>
    <w:rsid w:val="00EE6850"/>
    <w:rsid w:val="00EF045C"/>
    <w:rsid w:val="00EF0627"/>
    <w:rsid w:val="00EF1161"/>
    <w:rsid w:val="00EF117C"/>
    <w:rsid w:val="00EF11A6"/>
    <w:rsid w:val="00EF1A70"/>
    <w:rsid w:val="00EF296A"/>
    <w:rsid w:val="00EF3DB2"/>
    <w:rsid w:val="00EF6AEF"/>
    <w:rsid w:val="00F02C9A"/>
    <w:rsid w:val="00F1002B"/>
    <w:rsid w:val="00F138FC"/>
    <w:rsid w:val="00F1437D"/>
    <w:rsid w:val="00F146AB"/>
    <w:rsid w:val="00F17A23"/>
    <w:rsid w:val="00F21C0D"/>
    <w:rsid w:val="00F22C60"/>
    <w:rsid w:val="00F24481"/>
    <w:rsid w:val="00F2636E"/>
    <w:rsid w:val="00F26E1A"/>
    <w:rsid w:val="00F271B2"/>
    <w:rsid w:val="00F273FC"/>
    <w:rsid w:val="00F31945"/>
    <w:rsid w:val="00F3253D"/>
    <w:rsid w:val="00F33907"/>
    <w:rsid w:val="00F34A89"/>
    <w:rsid w:val="00F352D2"/>
    <w:rsid w:val="00F36CC4"/>
    <w:rsid w:val="00F434BE"/>
    <w:rsid w:val="00F4504A"/>
    <w:rsid w:val="00F45754"/>
    <w:rsid w:val="00F45880"/>
    <w:rsid w:val="00F51248"/>
    <w:rsid w:val="00F51A1C"/>
    <w:rsid w:val="00F52B83"/>
    <w:rsid w:val="00F531A0"/>
    <w:rsid w:val="00F55621"/>
    <w:rsid w:val="00F63AFB"/>
    <w:rsid w:val="00F6526A"/>
    <w:rsid w:val="00F65A33"/>
    <w:rsid w:val="00F67BFF"/>
    <w:rsid w:val="00F7057F"/>
    <w:rsid w:val="00F71D41"/>
    <w:rsid w:val="00F7324B"/>
    <w:rsid w:val="00F7678F"/>
    <w:rsid w:val="00F776B8"/>
    <w:rsid w:val="00F8070C"/>
    <w:rsid w:val="00F80F71"/>
    <w:rsid w:val="00F81FB9"/>
    <w:rsid w:val="00F83340"/>
    <w:rsid w:val="00F852E6"/>
    <w:rsid w:val="00F85C95"/>
    <w:rsid w:val="00F86A75"/>
    <w:rsid w:val="00F86DD2"/>
    <w:rsid w:val="00F871BA"/>
    <w:rsid w:val="00F927A4"/>
    <w:rsid w:val="00F94C9A"/>
    <w:rsid w:val="00F95016"/>
    <w:rsid w:val="00F95C87"/>
    <w:rsid w:val="00FA04E8"/>
    <w:rsid w:val="00FA080C"/>
    <w:rsid w:val="00FA2743"/>
    <w:rsid w:val="00FA2D53"/>
    <w:rsid w:val="00FA41EF"/>
    <w:rsid w:val="00FA4761"/>
    <w:rsid w:val="00FA626C"/>
    <w:rsid w:val="00FA7787"/>
    <w:rsid w:val="00FA7DCE"/>
    <w:rsid w:val="00FB080F"/>
    <w:rsid w:val="00FB0A94"/>
    <w:rsid w:val="00FB0D5E"/>
    <w:rsid w:val="00FB1986"/>
    <w:rsid w:val="00FB35F5"/>
    <w:rsid w:val="00FB396B"/>
    <w:rsid w:val="00FB46DF"/>
    <w:rsid w:val="00FB4835"/>
    <w:rsid w:val="00FB4E28"/>
    <w:rsid w:val="00FB7021"/>
    <w:rsid w:val="00FB7DE0"/>
    <w:rsid w:val="00FC05F0"/>
    <w:rsid w:val="00FC08CC"/>
    <w:rsid w:val="00FC1033"/>
    <w:rsid w:val="00FC190B"/>
    <w:rsid w:val="00FC1AA8"/>
    <w:rsid w:val="00FC68A2"/>
    <w:rsid w:val="00FD1880"/>
    <w:rsid w:val="00FD359F"/>
    <w:rsid w:val="00FD3AAB"/>
    <w:rsid w:val="00FD414B"/>
    <w:rsid w:val="00FD6BC3"/>
    <w:rsid w:val="00FD7143"/>
    <w:rsid w:val="00FD7F65"/>
    <w:rsid w:val="00FE0980"/>
    <w:rsid w:val="00FE16CA"/>
    <w:rsid w:val="00FE1706"/>
    <w:rsid w:val="00FE1E91"/>
    <w:rsid w:val="00FE2EFC"/>
    <w:rsid w:val="00FE52D1"/>
    <w:rsid w:val="00FE532B"/>
    <w:rsid w:val="00FE64D8"/>
    <w:rsid w:val="00FF0A8D"/>
    <w:rsid w:val="00FF2F0A"/>
    <w:rsid w:val="00FF53C2"/>
    <w:rsid w:val="00FF6B43"/>
    <w:rsid w:val="00FF793C"/>
    <w:rsid w:val="00FF79FA"/>
    <w:rsid w:val="3609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5C636B07"/>
  <w15:docId w15:val="{C1A6848F-901C-4C07-BEE1-BFF70017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68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268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268D6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268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268D6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268D6"/>
    <w:rPr>
      <w:rFonts w:cs="Times New Roman"/>
    </w:rPr>
  </w:style>
  <w:style w:type="paragraph" w:customStyle="1" w:styleId="msolistparagraph0">
    <w:name w:val="msolistparagraph"/>
    <w:basedOn w:val="Normal"/>
    <w:uiPriority w:val="99"/>
    <w:rsid w:val="001268D6"/>
    <w:pPr>
      <w:ind w:left="720"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1268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268D6"/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1268D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1268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268D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126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268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181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DD657C"/>
    <w:rPr>
      <w:rFonts w:cs="Times New Roman"/>
      <w:color w:val="333333"/>
      <w:u w:val="none"/>
      <w:effect w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871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871E4"/>
    <w:rPr>
      <w:rFonts w:cs="Times New Roman"/>
      <w:b/>
      <w:bCs/>
    </w:rPr>
  </w:style>
  <w:style w:type="paragraph" w:styleId="NoSpacing">
    <w:name w:val="No Spacing"/>
    <w:uiPriority w:val="99"/>
    <w:qFormat/>
    <w:rsid w:val="001A49BC"/>
    <w:rPr>
      <w:sz w:val="24"/>
      <w:szCs w:val="24"/>
    </w:rPr>
  </w:style>
  <w:style w:type="paragraph" w:styleId="NormalWeb">
    <w:name w:val="Normal (Web)"/>
    <w:basedOn w:val="Normal"/>
    <w:uiPriority w:val="99"/>
    <w:semiHidden/>
    <w:rsid w:val="00B41ECA"/>
    <w:pPr>
      <w:spacing w:before="100" w:beforeAutospacing="1" w:after="100" w:afterAutospacing="1"/>
    </w:pPr>
  </w:style>
  <w:style w:type="character" w:customStyle="1" w:styleId="highlight">
    <w:name w:val="highlight"/>
    <w:basedOn w:val="DefaultParagraphFont"/>
    <w:uiPriority w:val="99"/>
    <w:rsid w:val="0064234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64234A"/>
    <w:rPr>
      <w:rFonts w:cs="Times New Roman"/>
    </w:rPr>
  </w:style>
  <w:style w:type="paragraph" w:styleId="Revision">
    <w:name w:val="Revision"/>
    <w:hidden/>
    <w:uiPriority w:val="99"/>
    <w:semiHidden/>
    <w:rsid w:val="00EA79E8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75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2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844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65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928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281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419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47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7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3050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0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74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41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16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B0ECB-81AB-4819-8485-BFC35DE34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1388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Healthy Montgomery Steering Committee Meeting</vt:lpstr>
    </vt:vector>
  </TitlesOfParts>
  <Company>MCG</Company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Montgomery Steering Committee Meeting</dc:title>
  <dc:creator>Hira Chowdhary</dc:creator>
  <cp:lastModifiedBy>Thompkins, Karen R.</cp:lastModifiedBy>
  <cp:revision>3</cp:revision>
  <cp:lastPrinted>2017-03-01T18:00:00Z</cp:lastPrinted>
  <dcterms:created xsi:type="dcterms:W3CDTF">2017-10-06T18:21:00Z</dcterms:created>
  <dcterms:modified xsi:type="dcterms:W3CDTF">2019-03-15T15:02:00Z</dcterms:modified>
</cp:coreProperties>
</file>