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r w:rsidR="00364BEB">
              <w:t>all of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00303250">
        <w:trPr>
          <w:cantSplit/>
          <w:trHeight w:val="72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239FB2A4" w:rsidR="00364BEB" w:rsidRDefault="00D43773" w:rsidP="00D07915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>Explain documentation requirements for when eMEDS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70ED8650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3B53D7">
        <w:t>19-03</w:t>
      </w:r>
      <w:r w:rsidR="004D4024">
        <w:t xml:space="preserve"> </w:t>
      </w:r>
      <w:r w:rsidR="00980230">
        <w:t>and 22-09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 xml:space="preserve">linical priority), and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r>
        <w:t xml:space="preserve">ePCR  report?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ePCR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r w:rsidR="004715AB">
        <w:rPr>
          <w:color w:val="000000" w:themeColor="text1"/>
          <w:szCs w:val="24"/>
        </w:rPr>
        <w:t>available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have to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46C0" w14:textId="77777777" w:rsidR="001A1B65" w:rsidRDefault="001A1B65">
      <w:r>
        <w:separator/>
      </w:r>
    </w:p>
  </w:endnote>
  <w:endnote w:type="continuationSeparator" w:id="0">
    <w:p w14:paraId="1FA7A7DA" w14:textId="77777777" w:rsidR="001A1B65" w:rsidRDefault="001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231F4123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</w:t>
    </w:r>
    <w:r w:rsidR="006B5235">
      <w:rPr>
        <w:rFonts w:ascii="Times New Roman Italic" w:hAnsi="Times New Roman Italic"/>
      </w:rPr>
      <w:t>2</w:t>
    </w:r>
    <w:r w:rsidR="00FD71D9">
      <w:rPr>
        <w:rFonts w:ascii="Times New Roman Italic" w:hAnsi="Times New Roman Italic"/>
      </w:rPr>
      <w:t>2</w:t>
    </w:r>
    <w:r>
      <w:rPr>
        <w:rFonts w:ascii="Times New Roman Italic" w:hAnsi="Times New Roman Italic"/>
      </w:rPr>
      <w:t xml:space="preserve"> MCFRS RC</w:t>
    </w:r>
    <w:r w:rsidR="00FD71D9">
      <w:rPr>
        <w:rFonts w:ascii="Times New Roman Italic" w:hAnsi="Times New Roman Italic"/>
      </w:rPr>
      <w:t>5</w:t>
    </w:r>
    <w:r w:rsidR="00303250">
      <w:rPr>
        <w:rFonts w:ascii="Times New Roman Italic" w:hAnsi="Times New Roman Italic"/>
      </w:rPr>
      <w:t>1</w:t>
    </w:r>
    <w:bookmarkStart w:id="0" w:name="_GoBack"/>
    <w:bookmarkEnd w:id="0"/>
    <w:r>
      <w:rPr>
        <w:rFonts w:ascii="Times New Roman Italic" w:hAnsi="Times New Roman Italic"/>
      </w:rPr>
      <w:t xml:space="preserve">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5F19" w14:textId="77777777" w:rsidR="001A1B65" w:rsidRDefault="001A1B65">
      <w:r>
        <w:separator/>
      </w:r>
    </w:p>
  </w:footnote>
  <w:footnote w:type="continuationSeparator" w:id="0">
    <w:p w14:paraId="507DFD50" w14:textId="77777777" w:rsidR="001A1B65" w:rsidRDefault="001A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30325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F2E6D"/>
    <w:rsid w:val="0053063B"/>
    <w:rsid w:val="005312D7"/>
    <w:rsid w:val="00545972"/>
    <w:rsid w:val="00561744"/>
    <w:rsid w:val="005808B5"/>
    <w:rsid w:val="005854F1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3D7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8</cp:revision>
  <cp:lastPrinted>2022-06-15T10:27:00Z</cp:lastPrinted>
  <dcterms:created xsi:type="dcterms:W3CDTF">2022-11-25T14:03:00Z</dcterms:created>
  <dcterms:modified xsi:type="dcterms:W3CDTF">2022-11-25T14:22:00Z</dcterms:modified>
</cp:coreProperties>
</file>