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A5" w:rsidRDefault="00C570A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C570A5" w:rsidRDefault="00C570A5" w:rsidP="00C570A5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  <w:sz w:val="20"/>
        </w:rPr>
        <w:drawing>
          <wp:inline distT="0" distB="0" distL="0" distR="0" wp14:anchorId="1D0D7622" wp14:editId="2879C70D">
            <wp:extent cx="886968" cy="886967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A5" w:rsidRPr="00C570A5" w:rsidRDefault="00C570A5" w:rsidP="00C5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</w:rPr>
        <w:t>Office of Community Partnerships</w:t>
      </w:r>
    </w:p>
    <w:p w:rsidR="00C570A5" w:rsidRPr="00C570A5" w:rsidRDefault="00C570A5" w:rsidP="00C5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</w:rPr>
        <w:t>Middle Eastern American Advisory Group</w:t>
      </w:r>
    </w:p>
    <w:p w:rsidR="00C570A5" w:rsidRPr="00C570A5" w:rsidRDefault="00C570A5" w:rsidP="00C570A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</w:rPr>
        <w:t>June 6, 2017 </w:t>
      </w:r>
    </w:p>
    <w:p w:rsidR="00C570A5" w:rsidRPr="00C570A5" w:rsidRDefault="00C570A5" w:rsidP="00C57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:rsidR="00C570A5" w:rsidRPr="00C570A5" w:rsidRDefault="00C570A5" w:rsidP="00C570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70A5"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STATEMENT DENOUNCING THE JUNE </w:t>
      </w:r>
      <w:r w:rsidRPr="00C570A5">
        <w:rPr>
          <w:rFonts w:ascii="Cambria" w:eastAsia="Times New Roman" w:hAnsi="Cambria" w:cs="Arial"/>
          <w:b/>
          <w:bCs/>
          <w:sz w:val="24"/>
          <w:szCs w:val="24"/>
        </w:rPr>
        <w:t>3rd TERRORIST ATTACK IN LONDON</w:t>
      </w:r>
    </w:p>
    <w:p w:rsidR="00C570A5" w:rsidRPr="00336B12" w:rsidRDefault="00C570A5" w:rsidP="00C570A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C570A5" w:rsidRPr="00C570A5" w:rsidRDefault="00C570A5" w:rsidP="00C57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0A5">
        <w:rPr>
          <w:rFonts w:ascii="Cambria" w:eastAsia="Times New Roman" w:hAnsi="Cambria" w:cs="Arial"/>
          <w:sz w:val="24"/>
          <w:szCs w:val="24"/>
        </w:rPr>
        <w:t>The Middle Eastern American Advisory Group -- volunteers with the Montgomery County, Maryland Office of Community Partnerships</w:t>
      </w:r>
      <w:r w:rsidRPr="00336B12">
        <w:rPr>
          <w:rFonts w:ascii="Cambria" w:eastAsia="Times New Roman" w:hAnsi="Cambria" w:cs="Arial"/>
          <w:sz w:val="24"/>
          <w:szCs w:val="24"/>
        </w:rPr>
        <w:t> </w:t>
      </w:r>
      <w:r w:rsidRPr="00C570A5">
        <w:rPr>
          <w:rFonts w:ascii="Cambria" w:eastAsia="Times New Roman" w:hAnsi="Cambria" w:cs="Arial"/>
          <w:sz w:val="24"/>
          <w:szCs w:val="24"/>
        </w:rPr>
        <w:t>serving as advisors to the</w:t>
      </w:r>
      <w:r w:rsidRPr="00336B12">
        <w:rPr>
          <w:rFonts w:ascii="Cambria" w:eastAsia="Times New Roman" w:hAnsi="Cambria" w:cs="Arial"/>
          <w:sz w:val="24"/>
          <w:szCs w:val="24"/>
        </w:rPr>
        <w:t> </w:t>
      </w:r>
      <w:r w:rsidR="00AA3A6A" w:rsidRPr="00336B12">
        <w:rPr>
          <w:rFonts w:ascii="Cambria" w:eastAsia="Times New Roman" w:hAnsi="Cambria" w:cs="Arial"/>
          <w:sz w:val="24"/>
          <w:szCs w:val="24"/>
        </w:rPr>
        <w:t>County Executive --</w:t>
      </w:r>
      <w:r w:rsidRPr="00C570A5">
        <w:rPr>
          <w:rFonts w:ascii="Cambria" w:eastAsia="Times New Roman" w:hAnsi="Cambria" w:cs="Arial"/>
          <w:sz w:val="24"/>
          <w:szCs w:val="24"/>
        </w:rPr>
        <w:t>condemns, in the strongest terms the terrorist attack carried out on London Bridge </w:t>
      </w:r>
      <w:r w:rsidRPr="00336B12">
        <w:rPr>
          <w:rFonts w:ascii="Cambria" w:eastAsia="Times New Roman" w:hAnsi="Cambria" w:cs="Arial"/>
          <w:sz w:val="24"/>
          <w:szCs w:val="24"/>
        </w:rPr>
        <w:t>Saturday</w:t>
      </w:r>
      <w:r w:rsidRPr="00C570A5">
        <w:rPr>
          <w:rFonts w:ascii="Cambria" w:eastAsia="Times New Roman" w:hAnsi="Cambria" w:cs="Arial"/>
          <w:sz w:val="24"/>
          <w:szCs w:val="24"/>
        </w:rPr>
        <w:t> night.</w:t>
      </w:r>
      <w:r w:rsidRPr="00C570A5">
        <w:rPr>
          <w:rFonts w:ascii="Cambria" w:eastAsia="Times New Roman" w:hAnsi="Cambria" w:cs="Arial"/>
          <w:color w:val="222222"/>
          <w:sz w:val="24"/>
          <w:szCs w:val="24"/>
        </w:rPr>
        <w:t> We extend our condolences to the victims` families, friends, and neighbors and hope for the quick recovery of those who were injured.</w:t>
      </w:r>
    </w:p>
    <w:p w:rsidR="00C570A5" w:rsidRPr="00C570A5" w:rsidRDefault="00C570A5" w:rsidP="00C570A5">
      <w:pPr>
        <w:spacing w:after="0" w:line="240" w:lineRule="auto"/>
        <w:rPr>
          <w:rFonts w:ascii="Cambria" w:eastAsia="Times New Roman" w:hAnsi="Cambria" w:cs="Times New Roman"/>
          <w:color w:val="500050"/>
          <w:sz w:val="24"/>
          <w:szCs w:val="24"/>
          <w:shd w:val="clear" w:color="auto" w:fill="FFFFFF"/>
        </w:rPr>
      </w:pPr>
    </w:p>
    <w:p w:rsidR="00C570A5" w:rsidRPr="00C570A5" w:rsidRDefault="00C570A5" w:rsidP="00C5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We further denounce all acts of terrorism around the world and hold in our hearts their victims, including family and friends. The horrific attack in London – and before that Portland, Manchester, Kabul, Paris and elsewhere – are unjustifiable by any religious, political or ideological purpose. The perpetrators of these attacks have lost touch with their humanity.</w:t>
      </w:r>
    </w:p>
    <w:p w:rsidR="00C570A5" w:rsidRPr="00C570A5" w:rsidRDefault="00C570A5" w:rsidP="00C570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</w:rPr>
      </w:pPr>
    </w:p>
    <w:p w:rsidR="00C570A5" w:rsidRPr="00C570A5" w:rsidRDefault="00C570A5" w:rsidP="00C5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At this tragic moment we stand in solidarity with peace-loving people of all backgrounds around the world against hate-driven attacks. Always, we are grateful to be living and working in a welcoming community of diverse communities.</w:t>
      </w:r>
    </w:p>
    <w:p w:rsidR="00C570A5" w:rsidRPr="00C570A5" w:rsidRDefault="00C570A5" w:rsidP="00C570A5">
      <w:pPr>
        <w:spacing w:after="0" w:line="240" w:lineRule="auto"/>
        <w:ind w:right="147"/>
        <w:rPr>
          <w:rFonts w:ascii="Cambria" w:eastAsia="Times New Roman" w:hAnsi="Cambria" w:cs="Times New Roman"/>
          <w:i/>
          <w:iCs/>
          <w:sz w:val="24"/>
          <w:szCs w:val="24"/>
          <w:shd w:val="clear" w:color="auto" w:fill="FFFFFF"/>
        </w:rPr>
      </w:pPr>
    </w:p>
    <w:p w:rsidR="00AA3A6A" w:rsidRDefault="00C570A5" w:rsidP="00AA3A6A">
      <w:pPr>
        <w:spacing w:after="0" w:line="240" w:lineRule="auto"/>
        <w:ind w:right="147"/>
        <w:jc w:val="center"/>
        <w:rPr>
          <w:rFonts w:ascii="Cambria" w:eastAsia="Times New Roman" w:hAnsi="Cambria" w:cs="Times New Roman"/>
          <w:i/>
          <w:iCs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i/>
          <w:iCs/>
          <w:sz w:val="24"/>
          <w:szCs w:val="24"/>
          <w:shd w:val="clear" w:color="auto" w:fill="FFFFFF"/>
        </w:rPr>
        <w:t xml:space="preserve">Daud Ahmad, Amjad Chaudhry, Ashraf El Fiky, Sahar Fahmy, Dareen Daniel, Mumtaz Jahan, Subhi Rawi, Mehmet Saracoglu, Masooda Shairzad, Mahasty Sharifi, Sam Shihadeh, </w:t>
      </w:r>
    </w:p>
    <w:p w:rsidR="00C570A5" w:rsidRPr="00C570A5" w:rsidRDefault="00C570A5" w:rsidP="00AA3A6A">
      <w:pPr>
        <w:spacing w:after="0" w:line="240" w:lineRule="auto"/>
        <w:ind w:right="14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70A5">
        <w:rPr>
          <w:rFonts w:ascii="Cambria" w:eastAsia="Times New Roman" w:hAnsi="Cambria" w:cs="Times New Roman"/>
          <w:i/>
          <w:iCs/>
          <w:sz w:val="24"/>
          <w:szCs w:val="24"/>
          <w:shd w:val="clear" w:color="auto" w:fill="FFFFFF"/>
        </w:rPr>
        <w:t>Deborah Trent, Akhtar Zubairi</w:t>
      </w:r>
    </w:p>
    <w:p w:rsidR="00C570A5" w:rsidRDefault="00C570A5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AA3A6A" w:rsidRDefault="00AA3A6A" w:rsidP="00C570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AA3A6A" w:rsidRDefault="00AA3A6A" w:rsidP="00C570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C570A5" w:rsidRPr="00DC1095" w:rsidRDefault="00C570A5" w:rsidP="00C570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C570A5">
        <w:rPr>
          <w:rFonts w:asciiTheme="majorBidi" w:hAnsiTheme="majorBidi" w:cstheme="majorBidi"/>
          <w:bCs/>
          <w:sz w:val="24"/>
          <w:szCs w:val="24"/>
        </w:rPr>
        <w:t>T</w:t>
      </w:r>
      <w:r w:rsidRPr="00FC17F3">
        <w:rPr>
          <w:rFonts w:asciiTheme="majorBidi" w:hAnsiTheme="majorBidi" w:cstheme="majorBidi"/>
          <w:sz w:val="24"/>
          <w:szCs w:val="24"/>
        </w:rPr>
        <w:t xml:space="preserve">he </w:t>
      </w:r>
      <w:r>
        <w:rPr>
          <w:rFonts w:asciiTheme="majorBidi" w:hAnsiTheme="majorBidi" w:cstheme="majorBidi"/>
          <w:sz w:val="24"/>
          <w:szCs w:val="24"/>
        </w:rPr>
        <w:t xml:space="preserve">Middle Eastern American </w:t>
      </w:r>
      <w:r w:rsidRPr="00FC17F3">
        <w:rPr>
          <w:rFonts w:asciiTheme="majorBidi" w:hAnsiTheme="majorBidi" w:cstheme="majorBidi"/>
          <w:sz w:val="24"/>
          <w:szCs w:val="24"/>
        </w:rPr>
        <w:t xml:space="preserve">Advisory Group </w:t>
      </w:r>
      <w:r>
        <w:rPr>
          <w:rFonts w:asciiTheme="majorBidi" w:hAnsiTheme="majorBidi" w:cstheme="majorBidi"/>
          <w:sz w:val="24"/>
          <w:szCs w:val="24"/>
        </w:rPr>
        <w:t>(MEAAG) serves</w:t>
      </w:r>
      <w:r w:rsidRPr="00FC17F3">
        <w:rPr>
          <w:rFonts w:asciiTheme="majorBidi" w:hAnsiTheme="majorBidi" w:cstheme="majorBidi"/>
          <w:sz w:val="24"/>
          <w:szCs w:val="24"/>
        </w:rPr>
        <w:t xml:space="preserve"> to ensure that the County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17F3">
        <w:rPr>
          <w:rFonts w:asciiTheme="majorBidi" w:hAnsiTheme="majorBidi" w:cstheme="majorBidi"/>
          <w:sz w:val="24"/>
          <w:szCs w:val="24"/>
        </w:rPr>
        <w:t>Executive</w:t>
      </w:r>
      <w:r>
        <w:rPr>
          <w:rFonts w:asciiTheme="majorBidi" w:hAnsiTheme="majorBidi" w:cstheme="majorBidi"/>
          <w:sz w:val="24"/>
          <w:szCs w:val="24"/>
        </w:rPr>
        <w:t xml:space="preserve"> (CE) </w:t>
      </w:r>
      <w:r w:rsidRPr="00FC17F3">
        <w:rPr>
          <w:rFonts w:asciiTheme="majorBidi" w:hAnsiTheme="majorBidi" w:cstheme="majorBidi"/>
          <w:sz w:val="24"/>
          <w:szCs w:val="24"/>
        </w:rPr>
        <w:t>is well informed of and able to respond effectively to the needs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17F3">
        <w:rPr>
          <w:rFonts w:asciiTheme="majorBidi" w:hAnsiTheme="majorBidi" w:cstheme="majorBidi"/>
          <w:sz w:val="24"/>
          <w:szCs w:val="24"/>
        </w:rPr>
        <w:t xml:space="preserve">concerns of </w:t>
      </w:r>
      <w:r>
        <w:rPr>
          <w:rFonts w:asciiTheme="majorBidi" w:hAnsiTheme="majorBidi" w:cstheme="majorBidi"/>
          <w:sz w:val="24"/>
          <w:szCs w:val="24"/>
        </w:rPr>
        <w:t>Middle Eastern Americans</w:t>
      </w:r>
      <w:r w:rsidRPr="00FC17F3">
        <w:rPr>
          <w:rFonts w:asciiTheme="majorBidi" w:hAnsiTheme="majorBidi" w:cstheme="majorBidi"/>
          <w:sz w:val="24"/>
          <w:szCs w:val="24"/>
        </w:rPr>
        <w:t xml:space="preserve"> living and/or working in Montgomery County.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For the purposes of MEAAG, </w:t>
      </w:r>
      <w:r w:rsidR="00AA3A6A">
        <w:rPr>
          <w:rFonts w:asciiTheme="majorHAnsi" w:hAnsiTheme="majorHAnsi" w:cs="Arial"/>
          <w:color w:val="000000"/>
          <w:shd w:val="clear" w:color="auto" w:fill="FFFFFF"/>
        </w:rPr>
        <w:t>“</w:t>
      </w:r>
      <w:r w:rsidRPr="005F4EAB">
        <w:rPr>
          <w:rFonts w:asciiTheme="majorHAnsi" w:hAnsiTheme="majorHAnsi" w:cs="Arial"/>
          <w:color w:val="000000"/>
          <w:shd w:val="clear" w:color="auto" w:fill="FFFFFF"/>
        </w:rPr>
        <w:t>Middle Eastern American</w:t>
      </w:r>
      <w:r w:rsidR="00AA3A6A">
        <w:rPr>
          <w:rFonts w:asciiTheme="majorHAnsi" w:hAnsiTheme="majorHAnsi" w:cs="Arial"/>
          <w:color w:val="000000"/>
          <w:shd w:val="clear" w:color="auto" w:fill="FFFFFF"/>
        </w:rPr>
        <w:t>”</w:t>
      </w:r>
      <w:r w:rsidRPr="005F4EAB">
        <w:rPr>
          <w:rFonts w:asciiTheme="majorHAnsi" w:hAnsiTheme="majorHAnsi" w:cs="Arial"/>
          <w:color w:val="000000"/>
          <w:shd w:val="clear" w:color="auto" w:fill="FFFFFF"/>
        </w:rPr>
        <w:t xml:space="preserve"> refers to Americans of Middle Eastern and Southwest Asian origin.</w:t>
      </w:r>
      <w:r w:rsidRPr="005F4E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Further information about MEAAG is available at: </w:t>
      </w:r>
      <w:hyperlink r:id="rId5" w:history="1">
        <w:r w:rsidRPr="00416F81">
          <w:rPr>
            <w:rStyle w:val="Hyperlink"/>
            <w:rFonts w:asciiTheme="majorHAnsi" w:hAnsiTheme="majorHAnsi"/>
          </w:rPr>
          <w:t>http://www.montgomerycountymd.gov/partnerships/community/mideastadvisory.html</w:t>
        </w:r>
      </w:hyperlink>
      <w:r>
        <w:rPr>
          <w:rFonts w:asciiTheme="majorHAnsi" w:hAnsiTheme="majorHAnsi"/>
        </w:rPr>
        <w:t xml:space="preserve">. </w:t>
      </w:r>
    </w:p>
    <w:p w:rsidR="00C570A5" w:rsidRPr="00C570A5" w:rsidRDefault="00C570A5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C570A5">
        <w:rPr>
          <w:rFonts w:ascii="Arial" w:hAnsi="Arial" w:cs="Arial"/>
          <w:sz w:val="19"/>
          <w:szCs w:val="19"/>
          <w:shd w:val="clear" w:color="auto" w:fill="FFFFFF"/>
        </w:rPr>
        <w:br w:type="page"/>
      </w:r>
    </w:p>
    <w:sectPr w:rsidR="00C570A5" w:rsidRPr="00C5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3"/>
    <w:rsid w:val="00076EC6"/>
    <w:rsid w:val="00126711"/>
    <w:rsid w:val="002E6B95"/>
    <w:rsid w:val="00336B12"/>
    <w:rsid w:val="004539BF"/>
    <w:rsid w:val="004E6404"/>
    <w:rsid w:val="005877F3"/>
    <w:rsid w:val="00651EBA"/>
    <w:rsid w:val="006B5FBF"/>
    <w:rsid w:val="00832043"/>
    <w:rsid w:val="009244DE"/>
    <w:rsid w:val="0093265E"/>
    <w:rsid w:val="00AA3A6A"/>
    <w:rsid w:val="00AA58C3"/>
    <w:rsid w:val="00BA46F6"/>
    <w:rsid w:val="00C570A5"/>
    <w:rsid w:val="00D708A7"/>
    <w:rsid w:val="00E21F3C"/>
    <w:rsid w:val="00E5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F9CE7-DAA9-4A8D-A755-9D245607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EC6"/>
  </w:style>
  <w:style w:type="character" w:styleId="Hyperlink">
    <w:name w:val="Hyperlink"/>
    <w:basedOn w:val="DefaultParagraphFont"/>
    <w:uiPriority w:val="99"/>
    <w:unhideWhenUsed/>
    <w:rsid w:val="00076EC6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76EC6"/>
  </w:style>
  <w:style w:type="paragraph" w:styleId="BalloonText">
    <w:name w:val="Balloon Text"/>
    <w:basedOn w:val="Normal"/>
    <w:link w:val="BalloonTextChar"/>
    <w:uiPriority w:val="99"/>
    <w:semiHidden/>
    <w:unhideWhenUsed/>
    <w:rsid w:val="0007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53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7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7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608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gomerycountymd.gov/partnerships/community/mideastadvisor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Battula, Ratna</cp:lastModifiedBy>
  <cp:revision>2</cp:revision>
  <dcterms:created xsi:type="dcterms:W3CDTF">2017-06-20T16:34:00Z</dcterms:created>
  <dcterms:modified xsi:type="dcterms:W3CDTF">2017-06-20T16:34:00Z</dcterms:modified>
</cp:coreProperties>
</file>